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_GB2312" w:hAnsi="仿宋" w:eastAsia="仿宋_GB2312" w:cs="宋体"/>
          <w:sz w:val="32"/>
          <w:szCs w:val="32"/>
        </w:rPr>
      </w:pPr>
    </w:p>
    <w:p>
      <w:pPr>
        <w:pStyle w:val="4"/>
        <w:rPr>
          <w:rFonts w:ascii="仿宋_GB2312" w:hAnsi="仿宋" w:eastAsia="仿宋_GB2312"/>
        </w:rPr>
      </w:pPr>
    </w:p>
    <w:p>
      <w:pPr>
        <w:keepNext/>
        <w:adjustRightInd w:val="0"/>
        <w:snapToGrid w:val="0"/>
        <w:jc w:val="center"/>
        <w:rPr>
          <w:rFonts w:ascii="宋体" w:hAnsi="宋体"/>
          <w:b/>
          <w:bCs/>
          <w:sz w:val="44"/>
          <w:szCs w:val="44"/>
        </w:rPr>
      </w:pPr>
      <w:r>
        <w:rPr>
          <w:rFonts w:hint="eastAsia" w:ascii="宋体" w:hAnsi="宋体"/>
          <w:b/>
          <w:bCs/>
          <w:sz w:val="44"/>
          <w:szCs w:val="44"/>
        </w:rPr>
        <w:t>新疆维吾尔自治区</w:t>
      </w:r>
    </w:p>
    <w:p>
      <w:pPr>
        <w:keepNext/>
        <w:adjustRightInd w:val="0"/>
        <w:snapToGrid w:val="0"/>
        <w:jc w:val="center"/>
        <w:rPr>
          <w:rFonts w:ascii="宋体" w:hAnsi="宋体"/>
          <w:b/>
          <w:bCs/>
          <w:sz w:val="44"/>
          <w:szCs w:val="44"/>
        </w:rPr>
      </w:pPr>
      <w:r>
        <w:rPr>
          <w:rFonts w:hint="eastAsia" w:ascii="宋体" w:hAnsi="宋体"/>
          <w:b/>
          <w:bCs/>
          <w:sz w:val="44"/>
          <w:szCs w:val="44"/>
        </w:rPr>
        <w:t>民丰县矿产资源总体规划</w:t>
      </w:r>
    </w:p>
    <w:p>
      <w:pPr>
        <w:keepNext/>
        <w:adjustRightInd w:val="0"/>
        <w:snapToGrid w:val="0"/>
        <w:jc w:val="center"/>
        <w:rPr>
          <w:rFonts w:ascii="宋体" w:hAnsi="宋体"/>
          <w:b/>
          <w:bCs/>
          <w:sz w:val="44"/>
          <w:szCs w:val="44"/>
        </w:rPr>
      </w:pPr>
      <w:r>
        <w:rPr>
          <w:rFonts w:hint="eastAsia" w:ascii="宋体" w:hAnsi="宋体"/>
          <w:b/>
          <w:bCs/>
          <w:sz w:val="44"/>
          <w:szCs w:val="44"/>
        </w:rPr>
        <w:t>(2021-2025年)</w:t>
      </w:r>
    </w:p>
    <w:p>
      <w:pPr>
        <w:adjustRightInd w:val="0"/>
        <w:snapToGrid w:val="0"/>
        <w:spacing w:line="360" w:lineRule="auto"/>
        <w:jc w:val="center"/>
        <w:rPr>
          <w:rFonts w:ascii="仿宋_GB2312" w:hAnsi="仿宋" w:eastAsia="仿宋_GB2312" w:cs="宋体"/>
          <w:b/>
          <w:bCs/>
          <w:sz w:val="32"/>
          <w:szCs w:val="32"/>
        </w:rPr>
      </w:pPr>
    </w:p>
    <w:p>
      <w:pPr>
        <w:adjustRightInd w:val="0"/>
        <w:snapToGrid w:val="0"/>
        <w:spacing w:line="360" w:lineRule="auto"/>
        <w:jc w:val="center"/>
        <w:rPr>
          <w:rFonts w:ascii="仿宋_GB2312" w:hAnsi="仿宋" w:eastAsia="仿宋_GB2312" w:cs="宋体"/>
          <w:b/>
          <w:bCs/>
          <w:sz w:val="32"/>
          <w:szCs w:val="32"/>
        </w:rPr>
      </w:pPr>
    </w:p>
    <w:p>
      <w:pPr>
        <w:adjustRightInd w:val="0"/>
        <w:snapToGrid w:val="0"/>
        <w:spacing w:line="360" w:lineRule="auto"/>
        <w:jc w:val="center"/>
        <w:rPr>
          <w:rFonts w:ascii="仿宋_GB2312" w:hAnsi="仿宋" w:eastAsia="仿宋_GB2312" w:cs="宋体"/>
          <w:b/>
          <w:bCs/>
          <w:sz w:val="32"/>
          <w:szCs w:val="32"/>
        </w:rPr>
      </w:pPr>
    </w:p>
    <w:p>
      <w:pPr>
        <w:pStyle w:val="11"/>
        <w:rPr>
          <w:rFonts w:ascii="仿宋_GB2312" w:hAnsi="仿宋" w:eastAsia="仿宋_GB2312" w:cs="宋体"/>
          <w:sz w:val="32"/>
          <w:szCs w:val="32"/>
        </w:rPr>
      </w:pPr>
    </w:p>
    <w:p>
      <w:pPr>
        <w:pStyle w:val="11"/>
        <w:rPr>
          <w:rFonts w:ascii="仿宋_GB2312" w:hAnsi="仿宋" w:eastAsia="仿宋_GB2312" w:cs="宋体"/>
          <w:sz w:val="32"/>
          <w:szCs w:val="32"/>
        </w:rPr>
      </w:pPr>
    </w:p>
    <w:p>
      <w:pPr>
        <w:pStyle w:val="11"/>
        <w:rPr>
          <w:rFonts w:ascii="仿宋_GB2312" w:hAnsi="仿宋" w:eastAsia="仿宋_GB2312" w:cs="宋体"/>
          <w:sz w:val="32"/>
          <w:szCs w:val="32"/>
        </w:rPr>
      </w:pPr>
    </w:p>
    <w:p>
      <w:pPr>
        <w:pStyle w:val="11"/>
        <w:rPr>
          <w:rFonts w:ascii="仿宋_GB2312" w:hAnsi="仿宋" w:eastAsia="仿宋_GB2312" w:cs="宋体"/>
          <w:sz w:val="32"/>
          <w:szCs w:val="32"/>
        </w:rPr>
      </w:pPr>
    </w:p>
    <w:p>
      <w:pPr>
        <w:pStyle w:val="11"/>
        <w:rPr>
          <w:rFonts w:ascii="仿宋_GB2312" w:hAnsi="仿宋" w:eastAsia="仿宋_GB2312" w:cs="宋体"/>
          <w:sz w:val="32"/>
          <w:szCs w:val="32"/>
        </w:rPr>
      </w:pPr>
    </w:p>
    <w:p>
      <w:pPr>
        <w:pStyle w:val="11"/>
        <w:rPr>
          <w:rFonts w:ascii="仿宋_GB2312" w:hAnsi="仿宋" w:eastAsia="仿宋_GB2312" w:cs="宋体"/>
          <w:sz w:val="32"/>
          <w:szCs w:val="32"/>
        </w:rPr>
      </w:pPr>
    </w:p>
    <w:p>
      <w:pPr>
        <w:pStyle w:val="11"/>
        <w:rPr>
          <w:rFonts w:ascii="仿宋_GB2312" w:hAnsi="仿宋" w:eastAsia="仿宋_GB2312" w:cs="宋体"/>
          <w:sz w:val="32"/>
          <w:szCs w:val="32"/>
        </w:rPr>
      </w:pPr>
    </w:p>
    <w:p>
      <w:pPr>
        <w:pStyle w:val="16"/>
        <w:ind w:firstLine="640"/>
        <w:rPr>
          <w:rFonts w:ascii="仿宋_GB2312" w:hAnsi="仿宋" w:eastAsia="仿宋_GB2312" w:cs="宋体"/>
          <w:sz w:val="32"/>
          <w:szCs w:val="32"/>
        </w:rPr>
      </w:pPr>
    </w:p>
    <w:p>
      <w:pPr>
        <w:pStyle w:val="16"/>
        <w:ind w:firstLine="640"/>
        <w:rPr>
          <w:rFonts w:ascii="仿宋_GB2312" w:hAnsi="仿宋" w:eastAsia="仿宋_GB2312" w:cs="宋体"/>
          <w:sz w:val="32"/>
          <w:szCs w:val="32"/>
        </w:rPr>
      </w:pPr>
    </w:p>
    <w:p>
      <w:pPr>
        <w:adjustRightInd w:val="0"/>
        <w:snapToGrid w:val="0"/>
        <w:spacing w:line="560" w:lineRule="exact"/>
        <w:jc w:val="center"/>
        <w:rPr>
          <w:rFonts w:ascii="宋体" w:hAnsi="宋体" w:cs="宋体"/>
          <w:b/>
          <w:sz w:val="44"/>
          <w:szCs w:val="44"/>
        </w:rPr>
      </w:pPr>
      <w:r>
        <w:rPr>
          <w:rFonts w:hint="eastAsia" w:ascii="宋体" w:hAnsi="宋体" w:cs="宋体"/>
          <w:b/>
          <w:sz w:val="44"/>
          <w:szCs w:val="44"/>
        </w:rPr>
        <w:t>新疆维吾尔自治区民丰县人民政府</w:t>
      </w:r>
    </w:p>
    <w:p>
      <w:pPr>
        <w:adjustRightInd w:val="0"/>
        <w:snapToGrid w:val="0"/>
        <w:spacing w:line="560" w:lineRule="exact"/>
        <w:jc w:val="center"/>
        <w:rPr>
          <w:rFonts w:ascii="宋体" w:hAnsi="宋体" w:cs="宋体"/>
          <w:b/>
          <w:bCs/>
          <w:sz w:val="44"/>
          <w:szCs w:val="44"/>
        </w:rPr>
      </w:pPr>
      <w:r>
        <w:rPr>
          <w:rFonts w:hint="eastAsia" w:ascii="宋体" w:hAnsi="宋体" w:cs="宋体"/>
          <w:b/>
          <w:sz w:val="44"/>
          <w:szCs w:val="44"/>
        </w:rPr>
        <w:t>二○二一年九月</w:t>
      </w:r>
    </w:p>
    <w:p>
      <w:pPr>
        <w:pageBreakBefore/>
        <w:spacing w:line="360" w:lineRule="auto"/>
        <w:jc w:val="center"/>
        <w:rPr>
          <w:rFonts w:ascii="仿宋_GB2312" w:hAnsi="仿宋" w:eastAsia="仿宋_GB2312" w:cs="宋体"/>
          <w:b/>
          <w:bCs/>
          <w:sz w:val="32"/>
          <w:szCs w:val="32"/>
        </w:rPr>
        <w:sectPr>
          <w:footerReference r:id="rId3" w:type="default"/>
          <w:pgSz w:w="11906" w:h="16838"/>
          <w:pgMar w:top="1440" w:right="1418" w:bottom="1440" w:left="1418" w:header="851" w:footer="992" w:gutter="0"/>
          <w:pgNumType w:start="1"/>
          <w:cols w:space="720" w:num="1"/>
          <w:docGrid w:type="lines" w:linePitch="312" w:charSpace="0"/>
        </w:sectPr>
      </w:pPr>
    </w:p>
    <w:p>
      <w:pPr>
        <w:pageBreakBefore/>
        <w:spacing w:line="360" w:lineRule="auto"/>
        <w:jc w:val="center"/>
        <w:rPr>
          <w:rFonts w:ascii="仿宋_GB2312" w:hAnsi="仿宋" w:eastAsia="仿宋_GB2312" w:cs="宋体"/>
          <w:b/>
          <w:bCs/>
          <w:sz w:val="32"/>
          <w:szCs w:val="32"/>
        </w:rPr>
      </w:pPr>
      <w:r>
        <w:rPr>
          <w:rFonts w:hint="eastAsia" w:ascii="仿宋_GB2312" w:hAnsi="仿宋" w:eastAsia="仿宋_GB2312" w:cs="宋体"/>
          <w:b/>
          <w:bCs/>
          <w:sz w:val="32"/>
          <w:szCs w:val="32"/>
        </w:rPr>
        <w:t>目   录</w:t>
      </w:r>
    </w:p>
    <w:p>
      <w:pPr>
        <w:pStyle w:val="20"/>
        <w:tabs>
          <w:tab w:val="right" w:leader="dot" w:pos="9070"/>
        </w:tabs>
        <w:spacing w:line="560" w:lineRule="exact"/>
        <w:rPr>
          <w:rFonts w:ascii="仿宋_GB2312" w:hAnsi="仿宋" w:eastAsia="仿宋_GB2312" w:cs="宋体"/>
          <w:sz w:val="32"/>
          <w:szCs w:val="32"/>
        </w:rPr>
      </w:pP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TOC \o "1-2" \h \u </w:instrText>
      </w:r>
      <w:r>
        <w:rPr>
          <w:rFonts w:hint="eastAsia" w:ascii="仿宋_GB2312" w:hAnsi="仿宋" w:eastAsia="仿宋_GB2312" w:cs="宋体"/>
          <w:b/>
          <w:bCs/>
          <w:sz w:val="32"/>
          <w:szCs w:val="32"/>
        </w:rPr>
        <w:fldChar w:fldCharType="separate"/>
      </w:r>
      <w:r>
        <w:fldChar w:fldCharType="begin"/>
      </w:r>
      <w:r>
        <w:instrText xml:space="preserve"> HYPERLINK \l "_Toc26349" </w:instrText>
      </w:r>
      <w:r>
        <w:fldChar w:fldCharType="separate"/>
      </w:r>
      <w:r>
        <w:rPr>
          <w:rFonts w:hint="eastAsia" w:ascii="仿宋_GB2312" w:hAnsi="仿宋" w:eastAsia="仿宋_GB2312" w:cs="宋体"/>
          <w:b/>
          <w:bCs/>
          <w:sz w:val="32"/>
          <w:szCs w:val="32"/>
        </w:rPr>
        <w:t>总  则</w:t>
      </w:r>
      <w:r>
        <w:rPr>
          <w:rFonts w:hint="eastAsia" w:ascii="仿宋_GB2312" w:hAnsi="仿宋" w:eastAsia="仿宋_GB2312" w:cs="宋体"/>
          <w:b/>
          <w:bCs/>
          <w:sz w:val="32"/>
          <w:szCs w:val="32"/>
        </w:rPr>
        <w:tab/>
      </w: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 PAGEREF _Toc26349 \h </w:instrText>
      </w:r>
      <w:r>
        <w:rPr>
          <w:rFonts w:hint="eastAsia" w:ascii="仿宋_GB2312" w:hAnsi="仿宋" w:eastAsia="仿宋_GB2312" w:cs="宋体"/>
          <w:b/>
          <w:bCs/>
          <w:sz w:val="32"/>
          <w:szCs w:val="32"/>
        </w:rPr>
        <w:fldChar w:fldCharType="separate"/>
      </w:r>
      <w:r>
        <w:rPr>
          <w:rFonts w:ascii="仿宋_GB2312" w:hAnsi="仿宋" w:eastAsia="仿宋_GB2312" w:cs="宋体"/>
          <w:b/>
          <w:bCs/>
          <w:sz w:val="32"/>
          <w:szCs w:val="32"/>
        </w:rPr>
        <w:t>1</w:t>
      </w:r>
      <w:r>
        <w:rPr>
          <w:rFonts w:hint="eastAsia" w:ascii="仿宋_GB2312" w:hAnsi="仿宋" w:eastAsia="仿宋_GB2312" w:cs="宋体"/>
          <w:b/>
          <w:bCs/>
          <w:sz w:val="32"/>
          <w:szCs w:val="32"/>
        </w:rPr>
        <w:fldChar w:fldCharType="end"/>
      </w:r>
      <w:r>
        <w:rPr>
          <w:rFonts w:hint="eastAsia" w:ascii="仿宋_GB2312" w:hAnsi="仿宋" w:eastAsia="仿宋_GB2312" w:cs="宋体"/>
          <w:b/>
          <w:bCs/>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"_Toc3922" </w:instrText>
      </w:r>
      <w:r>
        <w:fldChar w:fldCharType="separate"/>
      </w:r>
      <w:r>
        <w:rPr>
          <w:rFonts w:hint="eastAsia" w:ascii="仿宋_GB2312" w:hAnsi="仿宋" w:eastAsia="仿宋_GB2312" w:cs="宋体"/>
          <w:sz w:val="32"/>
          <w:szCs w:val="32"/>
        </w:rPr>
        <w:t>第一节  编制依据</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_Toc3922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1</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"_Toc19218" </w:instrText>
      </w:r>
      <w:r>
        <w:fldChar w:fldCharType="separate"/>
      </w:r>
      <w:r>
        <w:rPr>
          <w:rFonts w:hint="eastAsia" w:ascii="仿宋_GB2312" w:hAnsi="仿宋" w:eastAsia="仿宋_GB2312" w:cs="宋体"/>
          <w:sz w:val="32"/>
          <w:szCs w:val="32"/>
        </w:rPr>
        <w:t>第二节  规划目的</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_Toc19218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1</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"_Toc2548" </w:instrText>
      </w:r>
      <w:r>
        <w:fldChar w:fldCharType="separate"/>
      </w:r>
      <w:r>
        <w:rPr>
          <w:rFonts w:hint="eastAsia" w:ascii="仿宋_GB2312" w:hAnsi="仿宋" w:eastAsia="仿宋_GB2312" w:cs="宋体"/>
          <w:sz w:val="32"/>
          <w:szCs w:val="32"/>
        </w:rPr>
        <w:t>第三节  适用范围</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_Toc2548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"_Toc1052" </w:instrText>
      </w:r>
      <w:r>
        <w:fldChar w:fldCharType="separate"/>
      </w:r>
      <w:r>
        <w:rPr>
          <w:rFonts w:hint="eastAsia" w:ascii="仿宋_GB2312" w:hAnsi="仿宋" w:eastAsia="仿宋_GB2312" w:cs="宋体"/>
          <w:sz w:val="32"/>
          <w:szCs w:val="32"/>
        </w:rPr>
        <w:t>第四节  规划期及基准年</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_Toc1052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0"/>
        <w:tabs>
          <w:tab w:val="right" w:leader="dot" w:pos="9070"/>
        </w:tabs>
        <w:spacing w:line="560" w:lineRule="exact"/>
        <w:rPr>
          <w:rFonts w:ascii="仿宋_GB2312" w:hAnsi="仿宋" w:eastAsia="仿宋_GB2312" w:cs="宋体"/>
          <w:b/>
          <w:bCs/>
          <w:sz w:val="32"/>
          <w:szCs w:val="32"/>
        </w:rPr>
      </w:pPr>
      <w:r>
        <w:fldChar w:fldCharType="begin"/>
      </w:r>
      <w:r>
        <w:instrText xml:space="preserve"> HYPERLINK \l "_Toc2482" </w:instrText>
      </w:r>
      <w:r>
        <w:fldChar w:fldCharType="separate"/>
      </w:r>
      <w:r>
        <w:rPr>
          <w:rFonts w:hint="eastAsia" w:ascii="仿宋_GB2312" w:hAnsi="仿宋" w:eastAsia="仿宋_GB2312" w:cs="宋体"/>
          <w:b/>
          <w:bCs/>
          <w:sz w:val="32"/>
          <w:szCs w:val="32"/>
        </w:rPr>
        <w:t>第一章  现状与形势</w:t>
      </w:r>
      <w:r>
        <w:rPr>
          <w:rFonts w:hint="eastAsia" w:ascii="仿宋_GB2312" w:hAnsi="仿宋" w:eastAsia="仿宋_GB2312" w:cs="宋体"/>
          <w:b/>
          <w:bCs/>
          <w:sz w:val="32"/>
          <w:szCs w:val="32"/>
        </w:rPr>
        <w:tab/>
      </w: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 PAGEREF _Toc2482 \h </w:instrText>
      </w:r>
      <w:r>
        <w:rPr>
          <w:rFonts w:hint="eastAsia" w:ascii="仿宋_GB2312" w:hAnsi="仿宋" w:eastAsia="仿宋_GB2312" w:cs="宋体"/>
          <w:b/>
          <w:bCs/>
          <w:sz w:val="32"/>
          <w:szCs w:val="32"/>
        </w:rPr>
        <w:fldChar w:fldCharType="separate"/>
      </w:r>
      <w:r>
        <w:rPr>
          <w:rFonts w:ascii="仿宋_GB2312" w:hAnsi="仿宋" w:eastAsia="仿宋_GB2312" w:cs="宋体"/>
          <w:b/>
          <w:bCs/>
          <w:sz w:val="32"/>
          <w:szCs w:val="32"/>
        </w:rPr>
        <w:t>1</w:t>
      </w:r>
      <w:r>
        <w:rPr>
          <w:rFonts w:hint="eastAsia" w:ascii="仿宋_GB2312" w:hAnsi="仿宋" w:eastAsia="仿宋_GB2312" w:cs="宋体"/>
          <w:b/>
          <w:bCs/>
          <w:sz w:val="32"/>
          <w:szCs w:val="32"/>
        </w:rPr>
        <w:fldChar w:fldCharType="end"/>
      </w:r>
      <w:r>
        <w:rPr>
          <w:rFonts w:hint="eastAsia" w:ascii="仿宋_GB2312" w:hAnsi="仿宋" w:eastAsia="仿宋_GB2312" w:cs="宋体"/>
          <w:b/>
          <w:bCs/>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"_Toc4982" </w:instrText>
      </w:r>
      <w:r>
        <w:fldChar w:fldCharType="separate"/>
      </w:r>
      <w:r>
        <w:rPr>
          <w:rFonts w:hint="eastAsia" w:ascii="仿宋_GB2312" w:hAnsi="仿宋" w:eastAsia="仿宋_GB2312" w:cs="宋体"/>
          <w:sz w:val="32"/>
          <w:szCs w:val="32"/>
        </w:rPr>
        <w:t>第一节  民丰县概况</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_Toc4982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1</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"_Toc647" </w:instrText>
      </w:r>
      <w:r>
        <w:fldChar w:fldCharType="separate"/>
      </w:r>
      <w:r>
        <w:rPr>
          <w:rFonts w:hint="eastAsia" w:ascii="仿宋_GB2312" w:hAnsi="仿宋" w:eastAsia="仿宋_GB2312" w:cs="宋体"/>
          <w:sz w:val="32"/>
          <w:szCs w:val="32"/>
        </w:rPr>
        <w:t>第二节  矿产资源概况和主要特点</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_Toc647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"_Toc15467" </w:instrText>
      </w:r>
      <w:r>
        <w:fldChar w:fldCharType="separate"/>
      </w:r>
      <w:r>
        <w:rPr>
          <w:rFonts w:hint="eastAsia" w:ascii="仿宋_GB2312" w:hAnsi="仿宋" w:eastAsia="仿宋_GB2312" w:cs="宋体"/>
          <w:sz w:val="32"/>
          <w:szCs w:val="32"/>
        </w:rPr>
        <w:t>第三节  上一轮矿产资源规划实施成效</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_Toc15467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"_Toc13542" </w:instrText>
      </w:r>
      <w:r>
        <w:fldChar w:fldCharType="separate"/>
      </w:r>
      <w:r>
        <w:rPr>
          <w:rFonts w:hint="eastAsia" w:ascii="仿宋_GB2312" w:hAnsi="仿宋" w:eastAsia="仿宋_GB2312" w:cs="宋体"/>
          <w:sz w:val="32"/>
          <w:szCs w:val="32"/>
        </w:rPr>
        <w:t>第四节  矿业发展现状与存在主要问题</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_Toc13542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6</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"_Toc26286" </w:instrText>
      </w:r>
      <w:r>
        <w:fldChar w:fldCharType="separate"/>
      </w:r>
      <w:r>
        <w:rPr>
          <w:rFonts w:hint="eastAsia" w:ascii="仿宋_GB2312" w:hAnsi="仿宋" w:eastAsia="仿宋_GB2312" w:cs="宋体"/>
          <w:sz w:val="32"/>
          <w:szCs w:val="32"/>
        </w:rPr>
        <w:t>第五节  面临形势和发展要求</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_Toc26286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10</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0"/>
        <w:tabs>
          <w:tab w:val="right" w:leader="dot" w:pos="9070"/>
        </w:tabs>
        <w:spacing w:line="560" w:lineRule="exact"/>
        <w:rPr>
          <w:rFonts w:ascii="仿宋_GB2312" w:hAnsi="仿宋" w:eastAsia="仿宋_GB2312" w:cs="宋体"/>
          <w:b/>
          <w:bCs/>
          <w:sz w:val="32"/>
          <w:szCs w:val="32"/>
        </w:rPr>
      </w:pPr>
      <w:r>
        <w:fldChar w:fldCharType="begin"/>
      </w:r>
      <w:r>
        <w:instrText xml:space="preserve"> HYPERLINK \l "_Toc5788" </w:instrText>
      </w:r>
      <w:r>
        <w:fldChar w:fldCharType="separate"/>
      </w:r>
      <w:r>
        <w:rPr>
          <w:rFonts w:hint="eastAsia" w:ascii="仿宋_GB2312" w:hAnsi="仿宋" w:eastAsia="仿宋_GB2312" w:cs="宋体"/>
          <w:b/>
          <w:bCs/>
          <w:sz w:val="32"/>
          <w:szCs w:val="32"/>
        </w:rPr>
        <w:t>第二章  指导原则和目标</w:t>
      </w:r>
      <w:r>
        <w:rPr>
          <w:rFonts w:hint="eastAsia" w:ascii="仿宋_GB2312" w:hAnsi="仿宋" w:eastAsia="仿宋_GB2312" w:cs="宋体"/>
          <w:b/>
          <w:bCs/>
          <w:sz w:val="32"/>
          <w:szCs w:val="32"/>
        </w:rPr>
        <w:tab/>
      </w: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 PAGEREF _Toc5788 \h </w:instrText>
      </w:r>
      <w:r>
        <w:rPr>
          <w:rFonts w:hint="eastAsia" w:ascii="仿宋_GB2312" w:hAnsi="仿宋" w:eastAsia="仿宋_GB2312" w:cs="宋体"/>
          <w:b/>
          <w:bCs/>
          <w:sz w:val="32"/>
          <w:szCs w:val="32"/>
        </w:rPr>
        <w:fldChar w:fldCharType="separate"/>
      </w:r>
      <w:r>
        <w:rPr>
          <w:rFonts w:ascii="仿宋_GB2312" w:hAnsi="仿宋" w:eastAsia="仿宋_GB2312" w:cs="宋体"/>
          <w:b/>
          <w:bCs/>
          <w:sz w:val="32"/>
          <w:szCs w:val="32"/>
        </w:rPr>
        <w:t>12</w:t>
      </w:r>
      <w:r>
        <w:rPr>
          <w:rFonts w:hint="eastAsia" w:ascii="仿宋_GB2312" w:hAnsi="仿宋" w:eastAsia="仿宋_GB2312" w:cs="宋体"/>
          <w:b/>
          <w:bCs/>
          <w:sz w:val="32"/>
          <w:szCs w:val="32"/>
        </w:rPr>
        <w:fldChar w:fldCharType="end"/>
      </w:r>
      <w:r>
        <w:rPr>
          <w:rFonts w:hint="eastAsia" w:ascii="仿宋_GB2312" w:hAnsi="仿宋" w:eastAsia="仿宋_GB2312" w:cs="宋体"/>
          <w:b/>
          <w:bCs/>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"_Toc12850" </w:instrText>
      </w:r>
      <w:r>
        <w:fldChar w:fldCharType="separate"/>
      </w:r>
      <w:r>
        <w:rPr>
          <w:rFonts w:hint="eastAsia" w:ascii="仿宋_GB2312" w:hAnsi="仿宋" w:eastAsia="仿宋_GB2312" w:cs="宋体"/>
          <w:sz w:val="32"/>
          <w:szCs w:val="32"/>
        </w:rPr>
        <w:t>第一节  指导思想</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_Toc12850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12</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"_Toc11198" </w:instrText>
      </w:r>
      <w:r>
        <w:fldChar w:fldCharType="separate"/>
      </w:r>
      <w:r>
        <w:rPr>
          <w:rFonts w:hint="eastAsia" w:ascii="仿宋_GB2312" w:hAnsi="仿宋" w:eastAsia="仿宋_GB2312" w:cs="宋体"/>
          <w:sz w:val="32"/>
          <w:szCs w:val="32"/>
        </w:rPr>
        <w:t>第二节  规划目标</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_Toc11198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12</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"_Toc12003" </w:instrText>
      </w:r>
      <w:r>
        <w:fldChar w:fldCharType="separate"/>
      </w:r>
      <w:r>
        <w:rPr>
          <w:rFonts w:hint="eastAsia" w:ascii="仿宋_GB2312" w:hAnsi="仿宋" w:eastAsia="仿宋_GB2312" w:cs="宋体"/>
          <w:sz w:val="32"/>
          <w:szCs w:val="32"/>
        </w:rPr>
        <w:t>第二节  基本原则</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_Toc12003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16</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0"/>
        <w:tabs>
          <w:tab w:val="right" w:leader="dot" w:pos="9070"/>
        </w:tabs>
        <w:spacing w:line="560" w:lineRule="exact"/>
        <w:rPr>
          <w:rFonts w:ascii="仿宋_GB2312" w:hAnsi="仿宋" w:eastAsia="仿宋_GB2312" w:cs="宋体"/>
          <w:b/>
          <w:bCs/>
          <w:sz w:val="32"/>
          <w:szCs w:val="32"/>
        </w:rPr>
      </w:pPr>
      <w:r>
        <w:fldChar w:fldCharType="begin"/>
      </w:r>
      <w:r>
        <w:instrText xml:space="preserve"> HYPERLINK \l "_Toc6156" </w:instrText>
      </w:r>
      <w:r>
        <w:fldChar w:fldCharType="separate"/>
      </w:r>
      <w:r>
        <w:rPr>
          <w:rFonts w:hint="eastAsia" w:ascii="仿宋_GB2312" w:hAnsi="仿宋" w:eastAsia="仿宋_GB2312" w:cs="宋体"/>
          <w:b/>
          <w:bCs/>
          <w:sz w:val="32"/>
          <w:szCs w:val="32"/>
        </w:rPr>
        <w:t>第三章  矿产勘查开发与保护布局</w:t>
      </w:r>
      <w:r>
        <w:rPr>
          <w:rFonts w:hint="eastAsia" w:ascii="仿宋_GB2312" w:hAnsi="仿宋" w:eastAsia="仿宋_GB2312" w:cs="宋体"/>
          <w:b/>
          <w:bCs/>
          <w:sz w:val="32"/>
          <w:szCs w:val="32"/>
        </w:rPr>
        <w:tab/>
      </w: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 PAGEREF _Toc6156 \h </w:instrText>
      </w:r>
      <w:r>
        <w:rPr>
          <w:rFonts w:hint="eastAsia" w:ascii="仿宋_GB2312" w:hAnsi="仿宋" w:eastAsia="仿宋_GB2312" w:cs="宋体"/>
          <w:b/>
          <w:bCs/>
          <w:sz w:val="32"/>
          <w:szCs w:val="32"/>
        </w:rPr>
        <w:fldChar w:fldCharType="separate"/>
      </w:r>
      <w:r>
        <w:rPr>
          <w:rFonts w:ascii="仿宋_GB2312" w:hAnsi="仿宋" w:eastAsia="仿宋_GB2312" w:cs="宋体"/>
          <w:b/>
          <w:bCs/>
          <w:sz w:val="32"/>
          <w:szCs w:val="32"/>
        </w:rPr>
        <w:t>20</w:t>
      </w:r>
      <w:r>
        <w:rPr>
          <w:rFonts w:hint="eastAsia" w:ascii="仿宋_GB2312" w:hAnsi="仿宋" w:eastAsia="仿宋_GB2312" w:cs="宋体"/>
          <w:b/>
          <w:bCs/>
          <w:sz w:val="32"/>
          <w:szCs w:val="32"/>
        </w:rPr>
        <w:fldChar w:fldCharType="end"/>
      </w:r>
      <w:r>
        <w:rPr>
          <w:rFonts w:hint="eastAsia" w:ascii="仿宋_GB2312" w:hAnsi="仿宋" w:eastAsia="仿宋_GB2312" w:cs="宋体"/>
          <w:b/>
          <w:bCs/>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"_Toc32503" </w:instrText>
      </w:r>
      <w:r>
        <w:fldChar w:fldCharType="separate"/>
      </w:r>
      <w:r>
        <w:rPr>
          <w:rFonts w:hint="eastAsia" w:ascii="仿宋_GB2312" w:hAnsi="仿宋" w:eastAsia="仿宋_GB2312" w:cs="宋体"/>
          <w:sz w:val="32"/>
          <w:szCs w:val="32"/>
        </w:rPr>
        <w:t>第一节  矿产资源产业重点发展区域</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_Toc32503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20</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"_Toc13428" </w:instrText>
      </w:r>
      <w:r>
        <w:fldChar w:fldCharType="separate"/>
      </w:r>
      <w:r>
        <w:rPr>
          <w:rFonts w:hint="eastAsia" w:ascii="仿宋_GB2312" w:hAnsi="仿宋" w:eastAsia="仿宋_GB2312" w:cs="宋体"/>
          <w:sz w:val="32"/>
          <w:szCs w:val="32"/>
        </w:rPr>
        <w:t>第二节  矿产资源勘查开采调控方向</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_Toc13428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22</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"_Toc8431" </w:instrText>
      </w:r>
      <w:r>
        <w:fldChar w:fldCharType="separate"/>
      </w:r>
      <w:r>
        <w:rPr>
          <w:rFonts w:hint="eastAsia" w:ascii="仿宋_GB2312" w:hAnsi="仿宋" w:eastAsia="仿宋_GB2312" w:cs="宋体"/>
          <w:sz w:val="32"/>
          <w:szCs w:val="32"/>
        </w:rPr>
        <w:t>第三节  勘查开采与保护布局</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_Toc8431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23</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"_Toc4503" </w:instrText>
      </w:r>
      <w:r>
        <w:fldChar w:fldCharType="separate"/>
      </w:r>
      <w:r>
        <w:rPr>
          <w:rFonts w:hint="eastAsia" w:ascii="仿宋_GB2312" w:hAnsi="仿宋" w:eastAsia="仿宋_GB2312" w:cs="宋体"/>
          <w:sz w:val="32"/>
          <w:szCs w:val="32"/>
        </w:rPr>
        <w:t>第四节 矿产资源开发利用规划</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_Toc4503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27</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0"/>
        <w:tabs>
          <w:tab w:val="right" w:leader="dot" w:pos="9070"/>
        </w:tabs>
        <w:spacing w:line="560" w:lineRule="exact"/>
        <w:rPr>
          <w:rFonts w:ascii="仿宋_GB2312" w:hAnsi="仿宋" w:eastAsia="仿宋_GB2312" w:cs="宋体"/>
          <w:b/>
          <w:bCs/>
          <w:sz w:val="32"/>
          <w:szCs w:val="32"/>
        </w:rPr>
      </w:pPr>
      <w:r>
        <w:fldChar w:fldCharType="begin"/>
      </w:r>
      <w:r>
        <w:instrText xml:space="preserve"> HYPERLINK \l "_Toc18052" </w:instrText>
      </w:r>
      <w:r>
        <w:fldChar w:fldCharType="separate"/>
      </w:r>
      <w:r>
        <w:rPr>
          <w:rFonts w:hint="eastAsia" w:ascii="仿宋_GB2312" w:hAnsi="仿宋" w:eastAsia="仿宋_GB2312" w:cs="宋体"/>
          <w:b/>
          <w:bCs/>
          <w:sz w:val="32"/>
          <w:szCs w:val="32"/>
        </w:rPr>
        <w:t>第四章  加强矿产资源勘查开发利用与保护</w:t>
      </w:r>
      <w:r>
        <w:rPr>
          <w:rFonts w:hint="eastAsia" w:ascii="仿宋_GB2312" w:hAnsi="仿宋" w:eastAsia="仿宋_GB2312" w:cs="宋体"/>
          <w:b/>
          <w:bCs/>
          <w:sz w:val="32"/>
          <w:szCs w:val="32"/>
        </w:rPr>
        <w:tab/>
      </w: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 PAGEREF _Toc18052 \h </w:instrText>
      </w:r>
      <w:r>
        <w:rPr>
          <w:rFonts w:hint="eastAsia" w:ascii="仿宋_GB2312" w:hAnsi="仿宋" w:eastAsia="仿宋_GB2312" w:cs="宋体"/>
          <w:b/>
          <w:bCs/>
          <w:sz w:val="32"/>
          <w:szCs w:val="32"/>
        </w:rPr>
        <w:fldChar w:fldCharType="separate"/>
      </w:r>
      <w:r>
        <w:rPr>
          <w:rFonts w:ascii="仿宋_GB2312" w:hAnsi="仿宋" w:eastAsia="仿宋_GB2312" w:cs="宋体"/>
          <w:b/>
          <w:bCs/>
          <w:sz w:val="32"/>
          <w:szCs w:val="32"/>
        </w:rPr>
        <w:t>28</w:t>
      </w:r>
      <w:r>
        <w:rPr>
          <w:rFonts w:hint="eastAsia" w:ascii="仿宋_GB2312" w:hAnsi="仿宋" w:eastAsia="仿宋_GB2312" w:cs="宋体"/>
          <w:b/>
          <w:bCs/>
          <w:sz w:val="32"/>
          <w:szCs w:val="32"/>
        </w:rPr>
        <w:fldChar w:fldCharType="end"/>
      </w:r>
      <w:r>
        <w:rPr>
          <w:rFonts w:hint="eastAsia" w:ascii="仿宋_GB2312" w:hAnsi="仿宋" w:eastAsia="仿宋_GB2312" w:cs="宋体"/>
          <w:b/>
          <w:bCs/>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"_Toc22394" </w:instrText>
      </w:r>
      <w:r>
        <w:fldChar w:fldCharType="separate"/>
      </w:r>
      <w:r>
        <w:rPr>
          <w:rFonts w:hint="eastAsia" w:ascii="仿宋_GB2312" w:hAnsi="仿宋" w:eastAsia="仿宋_GB2312" w:cs="宋体"/>
          <w:sz w:val="32"/>
          <w:szCs w:val="32"/>
        </w:rPr>
        <w:t>第一节  合理确定开发强度</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_Toc22394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28</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"_Toc2066" </w:instrText>
      </w:r>
      <w:r>
        <w:fldChar w:fldCharType="separate"/>
      </w:r>
      <w:r>
        <w:rPr>
          <w:rFonts w:hint="eastAsia" w:ascii="仿宋_GB2312" w:hAnsi="仿宋" w:eastAsia="仿宋_GB2312" w:cs="宋体"/>
          <w:sz w:val="32"/>
          <w:szCs w:val="32"/>
        </w:rPr>
        <w:t>第二节  优化开发利用结构</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_Toc2066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28</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"_Toc13262" </w:instrText>
      </w:r>
      <w:r>
        <w:fldChar w:fldCharType="separate"/>
      </w:r>
      <w:r>
        <w:rPr>
          <w:rFonts w:hint="eastAsia" w:ascii="仿宋_GB2312" w:hAnsi="仿宋" w:eastAsia="仿宋_GB2312" w:cs="宋体"/>
          <w:sz w:val="32"/>
          <w:szCs w:val="32"/>
        </w:rPr>
        <w:t>第三节  严格规划准入管理</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_Toc13262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31</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0"/>
        <w:tabs>
          <w:tab w:val="right" w:leader="dot" w:pos="9070"/>
        </w:tabs>
        <w:spacing w:line="560" w:lineRule="exact"/>
        <w:rPr>
          <w:rFonts w:ascii="仿宋_GB2312" w:hAnsi="仿宋" w:eastAsia="仿宋_GB2312" w:cs="宋体"/>
          <w:sz w:val="32"/>
          <w:szCs w:val="32"/>
        </w:rPr>
      </w:pPr>
      <w:r>
        <w:fldChar w:fldCharType="begin"/>
      </w:r>
      <w:r>
        <w:instrText xml:space="preserve"> HYPERLINK \l "_Toc61" </w:instrText>
      </w:r>
      <w:r>
        <w:fldChar w:fldCharType="separate"/>
      </w:r>
      <w:r>
        <w:rPr>
          <w:rFonts w:hint="eastAsia" w:ascii="仿宋_GB2312" w:hAnsi="仿宋" w:eastAsia="仿宋_GB2312" w:cs="宋体"/>
          <w:b/>
          <w:bCs/>
          <w:sz w:val="32"/>
          <w:szCs w:val="32"/>
        </w:rPr>
        <w:t>第五章  绿色矿山建设和矿区生态保护</w:t>
      </w:r>
      <w:r>
        <w:rPr>
          <w:rFonts w:hint="eastAsia" w:ascii="仿宋_GB2312" w:hAnsi="仿宋" w:eastAsia="仿宋_GB2312" w:cs="宋体"/>
          <w:b/>
          <w:bCs/>
          <w:sz w:val="32"/>
          <w:szCs w:val="32"/>
        </w:rPr>
        <w:tab/>
      </w: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 PAGEREF _Toc61 \h </w:instrText>
      </w:r>
      <w:r>
        <w:rPr>
          <w:rFonts w:hint="eastAsia" w:ascii="仿宋_GB2312" w:hAnsi="仿宋" w:eastAsia="仿宋_GB2312" w:cs="宋体"/>
          <w:b/>
          <w:bCs/>
          <w:sz w:val="32"/>
          <w:szCs w:val="32"/>
        </w:rPr>
        <w:fldChar w:fldCharType="separate"/>
      </w:r>
      <w:r>
        <w:rPr>
          <w:rFonts w:ascii="仿宋_GB2312" w:hAnsi="仿宋" w:eastAsia="仿宋_GB2312" w:cs="宋体"/>
          <w:b/>
          <w:bCs/>
          <w:sz w:val="32"/>
          <w:szCs w:val="32"/>
        </w:rPr>
        <w:t>35</w:t>
      </w:r>
      <w:r>
        <w:rPr>
          <w:rFonts w:hint="eastAsia" w:ascii="仿宋_GB2312" w:hAnsi="仿宋" w:eastAsia="仿宋_GB2312" w:cs="宋体"/>
          <w:b/>
          <w:bCs/>
          <w:sz w:val="32"/>
          <w:szCs w:val="32"/>
        </w:rPr>
        <w:fldChar w:fldCharType="end"/>
      </w:r>
      <w:r>
        <w:rPr>
          <w:rFonts w:hint="eastAsia" w:ascii="仿宋_GB2312" w:hAnsi="仿宋" w:eastAsia="仿宋_GB2312" w:cs="宋体"/>
          <w:b/>
          <w:bCs/>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"_Toc21366" </w:instrText>
      </w:r>
      <w:r>
        <w:fldChar w:fldCharType="separate"/>
      </w:r>
      <w:r>
        <w:rPr>
          <w:rFonts w:hint="eastAsia" w:ascii="仿宋_GB2312" w:hAnsi="仿宋" w:eastAsia="仿宋_GB2312" w:cs="宋体"/>
          <w:sz w:val="32"/>
          <w:szCs w:val="32"/>
        </w:rPr>
        <w:t>第一节  绿色矿山建设</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_Toc21366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35</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"_Toc31207" </w:instrText>
      </w:r>
      <w:r>
        <w:fldChar w:fldCharType="separate"/>
      </w:r>
      <w:r>
        <w:rPr>
          <w:rFonts w:hint="eastAsia" w:ascii="仿宋_GB2312" w:hAnsi="仿宋" w:eastAsia="仿宋_GB2312" w:cs="宋体"/>
          <w:sz w:val="32"/>
          <w:szCs w:val="32"/>
        </w:rPr>
        <w:t>第二节  矿区生态保护修复</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_Toc31207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39</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0"/>
        <w:tabs>
          <w:tab w:val="right" w:leader="dot" w:pos="9070"/>
        </w:tabs>
        <w:spacing w:line="560" w:lineRule="exact"/>
        <w:rPr>
          <w:rFonts w:ascii="仿宋_GB2312" w:hAnsi="仿宋" w:eastAsia="仿宋_GB2312" w:cs="宋体"/>
          <w:sz w:val="32"/>
          <w:szCs w:val="32"/>
        </w:rPr>
      </w:pPr>
      <w:r>
        <w:fldChar w:fldCharType="begin"/>
      </w:r>
      <w:r>
        <w:instrText xml:space="preserve"> HYPERLINK \l "_Toc2353" </w:instrText>
      </w:r>
      <w:r>
        <w:fldChar w:fldCharType="separate"/>
      </w:r>
      <w:r>
        <w:rPr>
          <w:rFonts w:hint="eastAsia" w:ascii="仿宋_GB2312" w:hAnsi="仿宋" w:eastAsia="仿宋_GB2312" w:cs="宋体"/>
          <w:b/>
          <w:bCs/>
          <w:sz w:val="32"/>
          <w:szCs w:val="32"/>
        </w:rPr>
        <w:t>第六章  重点项目</w:t>
      </w:r>
      <w:r>
        <w:rPr>
          <w:rFonts w:hint="eastAsia" w:ascii="仿宋_GB2312" w:hAnsi="仿宋" w:eastAsia="仿宋_GB2312" w:cs="宋体"/>
          <w:b/>
          <w:bCs/>
          <w:sz w:val="32"/>
          <w:szCs w:val="32"/>
        </w:rPr>
        <w:tab/>
      </w: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 PAGEREF _Toc2353 \h </w:instrText>
      </w:r>
      <w:r>
        <w:rPr>
          <w:rFonts w:hint="eastAsia" w:ascii="仿宋_GB2312" w:hAnsi="仿宋" w:eastAsia="仿宋_GB2312" w:cs="宋体"/>
          <w:b/>
          <w:bCs/>
          <w:sz w:val="32"/>
          <w:szCs w:val="32"/>
        </w:rPr>
        <w:fldChar w:fldCharType="separate"/>
      </w:r>
      <w:r>
        <w:rPr>
          <w:rFonts w:ascii="仿宋_GB2312" w:hAnsi="仿宋" w:eastAsia="仿宋_GB2312" w:cs="宋体"/>
          <w:b/>
          <w:bCs/>
          <w:sz w:val="32"/>
          <w:szCs w:val="32"/>
        </w:rPr>
        <w:t>42</w:t>
      </w:r>
      <w:r>
        <w:rPr>
          <w:rFonts w:hint="eastAsia" w:ascii="仿宋_GB2312" w:hAnsi="仿宋" w:eastAsia="仿宋_GB2312" w:cs="宋体"/>
          <w:b/>
          <w:bCs/>
          <w:sz w:val="32"/>
          <w:szCs w:val="32"/>
        </w:rPr>
        <w:fldChar w:fldCharType="end"/>
      </w:r>
      <w:r>
        <w:rPr>
          <w:rFonts w:hint="eastAsia" w:ascii="仿宋_GB2312" w:hAnsi="仿宋" w:eastAsia="仿宋_GB2312" w:cs="宋体"/>
          <w:b/>
          <w:bCs/>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"_Toc27313" </w:instrText>
      </w:r>
      <w:r>
        <w:fldChar w:fldCharType="separate"/>
      </w:r>
      <w:r>
        <w:rPr>
          <w:rFonts w:hint="eastAsia" w:ascii="仿宋_GB2312" w:hAnsi="仿宋" w:eastAsia="仿宋_GB2312" w:cs="宋体"/>
          <w:sz w:val="32"/>
          <w:szCs w:val="32"/>
        </w:rPr>
        <w:t>第一节  矿产资源调查评价与勘查项目</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_Toc27313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42</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"_Toc4748" </w:instrText>
      </w:r>
      <w:r>
        <w:fldChar w:fldCharType="separate"/>
      </w:r>
      <w:r>
        <w:rPr>
          <w:rFonts w:hint="eastAsia" w:ascii="仿宋_GB2312" w:hAnsi="仿宋" w:eastAsia="仿宋_GB2312" w:cs="宋体"/>
          <w:sz w:val="32"/>
          <w:szCs w:val="32"/>
        </w:rPr>
        <w:t>第二节  矿产资源开发利用与保护项目</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_Toc4748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43</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"_Toc1687" </w:instrText>
      </w:r>
      <w:r>
        <w:fldChar w:fldCharType="separate"/>
      </w:r>
      <w:r>
        <w:rPr>
          <w:rFonts w:hint="eastAsia" w:ascii="仿宋_GB2312" w:hAnsi="仿宋" w:eastAsia="仿宋_GB2312" w:cs="宋体"/>
          <w:sz w:val="32"/>
          <w:szCs w:val="32"/>
        </w:rPr>
        <w:t>第三节  矿山地质环境治理恢复与矿区土地复垦项目</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_Toc1687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43</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0"/>
        <w:tabs>
          <w:tab w:val="right" w:leader="dot" w:pos="9070"/>
        </w:tabs>
        <w:spacing w:line="560" w:lineRule="exact"/>
        <w:rPr>
          <w:rFonts w:ascii="仿宋_GB2312" w:hAnsi="仿宋" w:eastAsia="仿宋_GB2312" w:cs="宋体"/>
          <w:b/>
          <w:bCs/>
          <w:sz w:val="32"/>
          <w:szCs w:val="32"/>
        </w:rPr>
      </w:pPr>
      <w:r>
        <w:fldChar w:fldCharType="begin"/>
      </w:r>
      <w:r>
        <w:instrText xml:space="preserve"> HYPERLINK \l "_Toc13716" </w:instrText>
      </w:r>
      <w:r>
        <w:fldChar w:fldCharType="separate"/>
      </w:r>
      <w:r>
        <w:rPr>
          <w:rFonts w:hint="eastAsia" w:ascii="仿宋_GB2312" w:hAnsi="仿宋" w:eastAsia="仿宋_GB2312" w:cs="宋体"/>
          <w:b/>
          <w:bCs/>
          <w:sz w:val="32"/>
          <w:szCs w:val="32"/>
        </w:rPr>
        <w:t>第七章  规划实施与管理</w:t>
      </w:r>
      <w:r>
        <w:rPr>
          <w:rFonts w:hint="eastAsia" w:ascii="仿宋_GB2312" w:hAnsi="仿宋" w:eastAsia="仿宋_GB2312" w:cs="宋体"/>
          <w:b/>
          <w:bCs/>
          <w:sz w:val="32"/>
          <w:szCs w:val="32"/>
        </w:rPr>
        <w:tab/>
      </w:r>
      <w:r>
        <w:rPr>
          <w:rFonts w:hint="eastAsia" w:ascii="仿宋_GB2312" w:hAnsi="仿宋" w:eastAsia="仿宋_GB2312" w:cs="宋体"/>
          <w:b/>
          <w:bCs/>
          <w:sz w:val="32"/>
          <w:szCs w:val="32"/>
        </w:rPr>
        <w:fldChar w:fldCharType="begin"/>
      </w:r>
      <w:r>
        <w:rPr>
          <w:rFonts w:hint="eastAsia" w:ascii="仿宋_GB2312" w:hAnsi="仿宋" w:eastAsia="仿宋_GB2312" w:cs="宋体"/>
          <w:b/>
          <w:bCs/>
          <w:sz w:val="32"/>
          <w:szCs w:val="32"/>
        </w:rPr>
        <w:instrText xml:space="preserve"> PAGEREF _Toc13716 \h </w:instrText>
      </w:r>
      <w:r>
        <w:rPr>
          <w:rFonts w:hint="eastAsia" w:ascii="仿宋_GB2312" w:hAnsi="仿宋" w:eastAsia="仿宋_GB2312" w:cs="宋体"/>
          <w:b/>
          <w:bCs/>
          <w:sz w:val="32"/>
          <w:szCs w:val="32"/>
        </w:rPr>
        <w:fldChar w:fldCharType="separate"/>
      </w:r>
      <w:r>
        <w:rPr>
          <w:rFonts w:ascii="仿宋_GB2312" w:hAnsi="仿宋" w:eastAsia="仿宋_GB2312" w:cs="宋体"/>
          <w:b/>
          <w:bCs/>
          <w:sz w:val="32"/>
          <w:szCs w:val="32"/>
        </w:rPr>
        <w:t>44</w:t>
      </w:r>
      <w:r>
        <w:rPr>
          <w:rFonts w:hint="eastAsia" w:ascii="仿宋_GB2312" w:hAnsi="仿宋" w:eastAsia="仿宋_GB2312" w:cs="宋体"/>
          <w:b/>
          <w:bCs/>
          <w:sz w:val="32"/>
          <w:szCs w:val="32"/>
        </w:rPr>
        <w:fldChar w:fldCharType="end"/>
      </w:r>
      <w:r>
        <w:rPr>
          <w:rFonts w:hint="eastAsia" w:ascii="仿宋_GB2312" w:hAnsi="仿宋" w:eastAsia="仿宋_GB2312" w:cs="宋体"/>
          <w:b/>
          <w:bCs/>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"_Toc23919" </w:instrText>
      </w:r>
      <w:r>
        <w:fldChar w:fldCharType="separate"/>
      </w:r>
      <w:r>
        <w:rPr>
          <w:rFonts w:hint="eastAsia" w:ascii="仿宋_GB2312" w:hAnsi="仿宋" w:eastAsia="仿宋_GB2312" w:cs="宋体"/>
          <w:sz w:val="32"/>
          <w:szCs w:val="32"/>
        </w:rPr>
        <w:t>第一节  建立完善规划实施目标责任考核制度</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_Toc23919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44</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"_Toc1243" </w:instrText>
      </w:r>
      <w:r>
        <w:fldChar w:fldCharType="separate"/>
      </w:r>
      <w:r>
        <w:rPr>
          <w:rFonts w:hint="eastAsia" w:ascii="仿宋_GB2312" w:hAnsi="仿宋" w:eastAsia="仿宋_GB2312" w:cs="宋体"/>
          <w:sz w:val="32"/>
          <w:szCs w:val="32"/>
        </w:rPr>
        <w:t>第二节  健全完善规划审查制度</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_Toc1243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44</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"_Toc14669" </w:instrText>
      </w:r>
      <w:r>
        <w:fldChar w:fldCharType="separate"/>
      </w:r>
      <w:r>
        <w:rPr>
          <w:rFonts w:hint="eastAsia" w:ascii="仿宋_GB2312" w:hAnsi="仿宋" w:eastAsia="仿宋_GB2312" w:cs="宋体"/>
          <w:sz w:val="32"/>
          <w:szCs w:val="32"/>
        </w:rPr>
        <w:t>第三节  健全完善规划实施评估调整机制</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_Toc14669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45</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"_Toc17607" </w:instrText>
      </w:r>
      <w:r>
        <w:fldChar w:fldCharType="separate"/>
      </w:r>
      <w:r>
        <w:rPr>
          <w:rFonts w:hint="eastAsia" w:ascii="仿宋_GB2312" w:hAnsi="仿宋" w:eastAsia="仿宋_GB2312" w:cs="宋体"/>
          <w:sz w:val="32"/>
          <w:szCs w:val="32"/>
        </w:rPr>
        <w:t>第四节  加强规划实施情况监督检查</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_Toc17607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45</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"_Toc27931" </w:instrText>
      </w:r>
      <w:r>
        <w:fldChar w:fldCharType="separate"/>
      </w:r>
      <w:r>
        <w:rPr>
          <w:rFonts w:hint="eastAsia" w:ascii="仿宋_GB2312" w:hAnsi="仿宋" w:eastAsia="仿宋_GB2312" w:cs="宋体"/>
          <w:sz w:val="32"/>
          <w:szCs w:val="32"/>
        </w:rPr>
        <w:t>第五节  提高规划管理信息化水平</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_Toc27931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45</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pStyle w:val="23"/>
        <w:tabs>
          <w:tab w:val="right" w:leader="dot" w:pos="9070"/>
        </w:tabs>
        <w:spacing w:line="560" w:lineRule="exact"/>
        <w:rPr>
          <w:rFonts w:ascii="仿宋_GB2312" w:hAnsi="仿宋" w:eastAsia="仿宋_GB2312" w:cs="宋体"/>
          <w:sz w:val="32"/>
          <w:szCs w:val="32"/>
        </w:rPr>
      </w:pPr>
      <w:r>
        <w:fldChar w:fldCharType="begin"/>
      </w:r>
      <w:r>
        <w:instrText xml:space="preserve"> HYPERLINK \l "_Toc1098" </w:instrText>
      </w:r>
      <w:r>
        <w:fldChar w:fldCharType="separate"/>
      </w:r>
      <w:r>
        <w:rPr>
          <w:rFonts w:hint="eastAsia" w:ascii="仿宋_GB2312" w:hAnsi="仿宋" w:eastAsia="仿宋_GB2312" w:cs="宋体"/>
          <w:sz w:val="32"/>
          <w:szCs w:val="32"/>
        </w:rPr>
        <w:t>第六节  强化安全生产管理</w:t>
      </w:r>
      <w:r>
        <w:rPr>
          <w:rFonts w:hint="eastAsia" w:ascii="仿宋_GB2312" w:hAnsi="仿宋" w:eastAsia="仿宋_GB2312" w:cs="宋体"/>
          <w:sz w:val="32"/>
          <w:szCs w:val="32"/>
        </w:rPr>
        <w:tab/>
      </w:r>
      <w:r>
        <w:rPr>
          <w:rFonts w:hint="eastAsia" w:ascii="仿宋_GB2312" w:hAnsi="仿宋" w:eastAsia="仿宋_GB2312" w:cs="宋体"/>
          <w:sz w:val="32"/>
          <w:szCs w:val="32"/>
        </w:rPr>
        <w:fldChar w:fldCharType="begin"/>
      </w:r>
      <w:r>
        <w:rPr>
          <w:rFonts w:hint="eastAsia" w:ascii="仿宋_GB2312" w:hAnsi="仿宋" w:eastAsia="仿宋_GB2312" w:cs="宋体"/>
          <w:sz w:val="32"/>
          <w:szCs w:val="32"/>
        </w:rPr>
        <w:instrText xml:space="preserve"> PAGEREF _Toc1098 \h </w:instrText>
      </w:r>
      <w:r>
        <w:rPr>
          <w:rFonts w:hint="eastAsia" w:ascii="仿宋_GB2312" w:hAnsi="仿宋" w:eastAsia="仿宋_GB2312" w:cs="宋体"/>
          <w:sz w:val="32"/>
          <w:szCs w:val="32"/>
        </w:rPr>
        <w:fldChar w:fldCharType="separate"/>
      </w:r>
      <w:r>
        <w:rPr>
          <w:rFonts w:ascii="仿宋_GB2312" w:hAnsi="仿宋" w:eastAsia="仿宋_GB2312" w:cs="宋体"/>
          <w:sz w:val="32"/>
          <w:szCs w:val="32"/>
        </w:rPr>
        <w:t>46</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fldChar w:fldCharType="end"/>
      </w:r>
    </w:p>
    <w:p>
      <w:pPr>
        <w:adjustRightInd w:val="0"/>
        <w:snapToGrid w:val="0"/>
        <w:spacing w:before="120" w:after="120" w:line="560" w:lineRule="exact"/>
        <w:jc w:val="center"/>
        <w:rPr>
          <w:rFonts w:ascii="仿宋_GB2312" w:hAnsi="仿宋" w:eastAsia="仿宋_GB2312" w:cs="宋体"/>
          <w:bCs/>
          <w:sz w:val="32"/>
          <w:szCs w:val="32"/>
        </w:rPr>
      </w:pPr>
      <w:r>
        <w:rPr>
          <w:rFonts w:hint="eastAsia" w:ascii="仿宋_GB2312" w:hAnsi="仿宋" w:eastAsia="仿宋_GB2312" w:cs="宋体"/>
          <w:bCs/>
          <w:sz w:val="32"/>
          <w:szCs w:val="32"/>
        </w:rPr>
        <w:fldChar w:fldCharType="end"/>
      </w:r>
    </w:p>
    <w:p>
      <w:pPr>
        <w:adjustRightInd w:val="0"/>
        <w:snapToGrid w:val="0"/>
        <w:spacing w:before="120" w:after="120" w:line="560" w:lineRule="exact"/>
        <w:jc w:val="center"/>
        <w:rPr>
          <w:rFonts w:ascii="仿宋_GB2312" w:hAnsi="仿宋" w:eastAsia="仿宋_GB2312" w:cs="宋体"/>
          <w:b/>
          <w:bCs/>
          <w:sz w:val="32"/>
          <w:szCs w:val="32"/>
        </w:rPr>
      </w:pPr>
    </w:p>
    <w:p>
      <w:pPr>
        <w:pStyle w:val="2"/>
      </w:pPr>
    </w:p>
    <w:p>
      <w:pPr>
        <w:pStyle w:val="2"/>
      </w:pPr>
    </w:p>
    <w:p>
      <w:pPr>
        <w:pStyle w:val="2"/>
      </w:pPr>
    </w:p>
    <w:p>
      <w:pPr>
        <w:pStyle w:val="2"/>
        <w:spacing w:line="560" w:lineRule="exact"/>
      </w:pPr>
    </w:p>
    <w:p>
      <w:pPr>
        <w:pStyle w:val="2"/>
        <w:spacing w:line="560" w:lineRule="exact"/>
      </w:pPr>
    </w:p>
    <w:p>
      <w:pPr>
        <w:adjustRightInd w:val="0"/>
        <w:snapToGrid w:val="0"/>
        <w:spacing w:before="120" w:after="120" w:line="560" w:lineRule="exact"/>
        <w:jc w:val="center"/>
        <w:rPr>
          <w:rFonts w:ascii="仿宋_GB2312" w:hAnsi="仿宋" w:eastAsia="仿宋_GB2312" w:cs="宋体"/>
          <w:b/>
          <w:bCs/>
          <w:sz w:val="32"/>
          <w:szCs w:val="32"/>
        </w:rPr>
      </w:pPr>
    </w:p>
    <w:tbl>
      <w:tblPr>
        <w:tblStyle w:val="27"/>
        <w:tblW w:w="9225" w:type="dxa"/>
        <w:tblInd w:w="0" w:type="dxa"/>
        <w:tblLayout w:type="fixed"/>
        <w:tblCellMar>
          <w:top w:w="15" w:type="dxa"/>
          <w:left w:w="15" w:type="dxa"/>
          <w:bottom w:w="15" w:type="dxa"/>
          <w:right w:w="15" w:type="dxa"/>
        </w:tblCellMar>
      </w:tblPr>
      <w:tblGrid>
        <w:gridCol w:w="1010"/>
        <w:gridCol w:w="8215"/>
      </w:tblGrid>
      <w:tr>
        <w:tblPrEx>
          <w:tblCellMar>
            <w:top w:w="15" w:type="dxa"/>
            <w:left w:w="15" w:type="dxa"/>
            <w:bottom w:w="15" w:type="dxa"/>
            <w:right w:w="15" w:type="dxa"/>
          </w:tblCellMar>
        </w:tblPrEx>
        <w:trPr>
          <w:trHeight w:val="285" w:hRule="atLeast"/>
        </w:trPr>
        <w:tc>
          <w:tcPr>
            <w:tcW w:w="9225" w:type="dxa"/>
            <w:gridSpan w:val="2"/>
            <w:vAlign w:val="center"/>
          </w:tcPr>
          <w:p>
            <w:pPr>
              <w:spacing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附  表  目  录</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附表1</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2020年新疆维吾尔自治区民丰县探矿权现状表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附表2</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2020年新疆维吾尔自治区民丰县主要矿产采矿权现状表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附表3</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2020年新疆维吾尔自治区民丰县主要矿区（床）资源储量基本情况表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附表4</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新疆维吾尔自治区民丰县矿产资源重点勘查区表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附表5</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新疆维吾尔自治区民丰县勘查规划区块表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附表6</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新疆维吾尔自治区民丰县主要矿产资源重点开采区表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附表7</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新疆维吾尔自治区民丰县开采规划区块表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 xml:space="preserve">附表8   </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新疆维吾尔自治区民丰县重点矿种矿山最低开采规模规划表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附表9</w:t>
            </w:r>
          </w:p>
        </w:tc>
        <w:tc>
          <w:tcPr>
            <w:tcW w:w="8215" w:type="dxa"/>
            <w:vAlign w:val="center"/>
          </w:tcPr>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新疆维吾尔自治区民丰县砂石土类集中开采区规划表</w:t>
            </w:r>
          </w:p>
        </w:tc>
      </w:tr>
      <w:tr>
        <w:tblPrEx>
          <w:tblCellMar>
            <w:top w:w="15" w:type="dxa"/>
            <w:left w:w="15" w:type="dxa"/>
            <w:bottom w:w="15" w:type="dxa"/>
            <w:right w:w="15" w:type="dxa"/>
          </w:tblCellMar>
        </w:tblPrEx>
        <w:trPr>
          <w:trHeight w:val="375" w:hRule="atLeast"/>
        </w:trPr>
        <w:tc>
          <w:tcPr>
            <w:tcW w:w="1010" w:type="dxa"/>
            <w:vAlign w:val="center"/>
          </w:tcPr>
          <w:p>
            <w:pPr>
              <w:spacing w:line="560" w:lineRule="exact"/>
              <w:rPr>
                <w:rFonts w:ascii="仿宋_GB2312" w:hAnsi="仿宋" w:eastAsia="仿宋_GB2312" w:cs="宋体"/>
                <w:sz w:val="28"/>
                <w:szCs w:val="28"/>
              </w:rPr>
            </w:pPr>
          </w:p>
        </w:tc>
        <w:tc>
          <w:tcPr>
            <w:tcW w:w="8215" w:type="dxa"/>
            <w:vAlign w:val="center"/>
          </w:tcPr>
          <w:p>
            <w:pPr>
              <w:spacing w:line="560" w:lineRule="exact"/>
              <w:rPr>
                <w:rFonts w:ascii="仿宋_GB2312" w:hAnsi="仿宋" w:eastAsia="仿宋_GB2312" w:cs="宋体"/>
                <w:sz w:val="28"/>
                <w:szCs w:val="28"/>
              </w:rPr>
            </w:pPr>
          </w:p>
        </w:tc>
      </w:tr>
    </w:tbl>
    <w:p>
      <w:pPr>
        <w:spacing w:line="560" w:lineRule="exact"/>
        <w:jc w:val="center"/>
        <w:rPr>
          <w:rFonts w:ascii="仿宋_GB2312" w:hAnsi="仿宋" w:eastAsia="仿宋_GB2312" w:cs="宋体"/>
          <w:b/>
          <w:spacing w:val="100"/>
          <w:sz w:val="32"/>
          <w:szCs w:val="32"/>
        </w:rPr>
      </w:pPr>
      <w:r>
        <w:rPr>
          <w:rFonts w:hint="eastAsia" w:ascii="仿宋_GB2312" w:hAnsi="仿宋" w:eastAsia="仿宋_GB2312" w:cs="宋体"/>
          <w:b/>
          <w:spacing w:val="100"/>
          <w:sz w:val="32"/>
          <w:szCs w:val="32"/>
        </w:rPr>
        <w:t>附图目录</w:t>
      </w:r>
    </w:p>
    <w:tbl>
      <w:tblPr>
        <w:tblStyle w:val="27"/>
        <w:tblW w:w="8898" w:type="dxa"/>
        <w:jc w:val="center"/>
        <w:tblLayout w:type="fixed"/>
        <w:tblCellMar>
          <w:top w:w="0" w:type="dxa"/>
          <w:left w:w="108" w:type="dxa"/>
          <w:bottom w:w="0" w:type="dxa"/>
          <w:right w:w="108" w:type="dxa"/>
        </w:tblCellMar>
      </w:tblPr>
      <w:tblGrid>
        <w:gridCol w:w="1332"/>
        <w:gridCol w:w="5953"/>
        <w:gridCol w:w="1613"/>
      </w:tblGrid>
      <w:tr>
        <w:tblPrEx>
          <w:tblCellMar>
            <w:top w:w="0" w:type="dxa"/>
            <w:left w:w="108" w:type="dxa"/>
            <w:bottom w:w="0" w:type="dxa"/>
            <w:right w:w="108" w:type="dxa"/>
          </w:tblCellMar>
        </w:tblPrEx>
        <w:trPr>
          <w:trHeight w:val="315" w:hRule="atLeast"/>
          <w:jc w:val="center"/>
        </w:trPr>
        <w:tc>
          <w:tcPr>
            <w:tcW w:w="1332" w:type="dxa"/>
            <w:tcBorders>
              <w:top w:val="nil"/>
              <w:left w:val="nil"/>
              <w:bottom w:val="nil"/>
              <w:right w:val="nil"/>
            </w:tcBorders>
            <w:vAlign w:val="center"/>
          </w:tcPr>
          <w:p>
            <w:pPr>
              <w:spacing w:line="5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顺序号</w:t>
            </w:r>
          </w:p>
        </w:tc>
        <w:tc>
          <w:tcPr>
            <w:tcW w:w="5953" w:type="dxa"/>
            <w:tcBorders>
              <w:top w:val="nil"/>
              <w:left w:val="nil"/>
              <w:bottom w:val="nil"/>
              <w:right w:val="nil"/>
            </w:tcBorders>
          </w:tcPr>
          <w:p>
            <w:pPr>
              <w:spacing w:line="5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 图 名 称</w:t>
            </w:r>
          </w:p>
        </w:tc>
        <w:tc>
          <w:tcPr>
            <w:tcW w:w="1613" w:type="dxa"/>
            <w:tcBorders>
              <w:top w:val="nil"/>
              <w:left w:val="nil"/>
              <w:bottom w:val="nil"/>
              <w:right w:val="nil"/>
            </w:tcBorders>
            <w:vAlign w:val="center"/>
          </w:tcPr>
          <w:p>
            <w:pPr>
              <w:spacing w:line="5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比例尺</w:t>
            </w:r>
          </w:p>
        </w:tc>
      </w:tr>
      <w:tr>
        <w:tblPrEx>
          <w:tblCellMar>
            <w:top w:w="0" w:type="dxa"/>
            <w:left w:w="108" w:type="dxa"/>
            <w:bottom w:w="0" w:type="dxa"/>
            <w:right w:w="108" w:type="dxa"/>
          </w:tblCellMar>
        </w:tblPrEx>
        <w:trPr>
          <w:trHeight w:val="315" w:hRule="atLeast"/>
          <w:jc w:val="center"/>
        </w:trPr>
        <w:tc>
          <w:tcPr>
            <w:tcW w:w="1332" w:type="dxa"/>
            <w:tcBorders>
              <w:top w:val="nil"/>
              <w:left w:val="nil"/>
              <w:bottom w:val="nil"/>
              <w:right w:val="nil"/>
            </w:tcBorders>
            <w:vAlign w:val="center"/>
          </w:tcPr>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附图一</w:t>
            </w:r>
          </w:p>
        </w:tc>
        <w:tc>
          <w:tcPr>
            <w:tcW w:w="5953" w:type="dxa"/>
            <w:tcBorders>
              <w:top w:val="nil"/>
              <w:left w:val="nil"/>
              <w:bottom w:val="nil"/>
              <w:right w:val="nil"/>
            </w:tcBorders>
            <w:vAlign w:val="center"/>
          </w:tcPr>
          <w:p>
            <w:pPr>
              <w:spacing w:line="560" w:lineRule="exact"/>
              <w:rPr>
                <w:rFonts w:ascii="仿宋_GB2312" w:hAnsi="宋体" w:eastAsia="仿宋_GB2312" w:cs="宋体"/>
                <w:kern w:val="0"/>
                <w:sz w:val="28"/>
                <w:szCs w:val="28"/>
              </w:rPr>
            </w:pPr>
            <w:r>
              <w:rPr>
                <w:rFonts w:hint="eastAsia" w:ascii="仿宋_GB2312" w:hAnsi="宋体" w:eastAsia="仿宋_GB2312" w:cs="宋体"/>
                <w:sz w:val="28"/>
                <w:szCs w:val="28"/>
              </w:rPr>
              <w:t>新疆民丰县矿产资源分布图</w:t>
            </w:r>
          </w:p>
        </w:tc>
        <w:tc>
          <w:tcPr>
            <w:tcW w:w="1613" w:type="dxa"/>
            <w:tcBorders>
              <w:top w:val="nil"/>
              <w:left w:val="nil"/>
              <w:bottom w:val="nil"/>
              <w:right w:val="nil"/>
            </w:tcBorders>
            <w:vAlign w:val="center"/>
          </w:tcPr>
          <w:p>
            <w:pPr>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1∶25万</w:t>
            </w:r>
          </w:p>
        </w:tc>
      </w:tr>
      <w:tr>
        <w:tblPrEx>
          <w:tblCellMar>
            <w:top w:w="0" w:type="dxa"/>
            <w:left w:w="108" w:type="dxa"/>
            <w:bottom w:w="0" w:type="dxa"/>
            <w:right w:w="108" w:type="dxa"/>
          </w:tblCellMar>
        </w:tblPrEx>
        <w:trPr>
          <w:trHeight w:val="285" w:hRule="atLeast"/>
          <w:jc w:val="center"/>
        </w:trPr>
        <w:tc>
          <w:tcPr>
            <w:tcW w:w="1332" w:type="dxa"/>
            <w:tcBorders>
              <w:top w:val="nil"/>
              <w:left w:val="nil"/>
              <w:bottom w:val="nil"/>
              <w:right w:val="nil"/>
            </w:tcBorders>
            <w:vAlign w:val="center"/>
          </w:tcPr>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附图二</w:t>
            </w:r>
          </w:p>
        </w:tc>
        <w:tc>
          <w:tcPr>
            <w:tcW w:w="5953" w:type="dxa"/>
            <w:tcBorders>
              <w:top w:val="nil"/>
              <w:left w:val="nil"/>
              <w:bottom w:val="nil"/>
              <w:right w:val="nil"/>
            </w:tcBorders>
            <w:vAlign w:val="center"/>
          </w:tcPr>
          <w:p>
            <w:pPr>
              <w:spacing w:line="560" w:lineRule="exact"/>
              <w:rPr>
                <w:rFonts w:ascii="仿宋_GB2312" w:hAnsi="宋体" w:eastAsia="仿宋_GB2312" w:cs="宋体"/>
                <w:sz w:val="28"/>
                <w:szCs w:val="28"/>
              </w:rPr>
            </w:pPr>
            <w:r>
              <w:rPr>
                <w:rFonts w:hint="eastAsia" w:ascii="仿宋_GB2312" w:hAnsi="宋体" w:eastAsia="仿宋_GB2312" w:cs="宋体"/>
                <w:sz w:val="28"/>
                <w:szCs w:val="28"/>
              </w:rPr>
              <w:t>新疆民丰县矿产资源勘查开发利用现状图</w:t>
            </w:r>
          </w:p>
        </w:tc>
        <w:tc>
          <w:tcPr>
            <w:tcW w:w="1613" w:type="dxa"/>
            <w:tcBorders>
              <w:top w:val="nil"/>
              <w:left w:val="nil"/>
              <w:bottom w:val="nil"/>
              <w:right w:val="nil"/>
            </w:tcBorders>
            <w:vAlign w:val="center"/>
          </w:tcPr>
          <w:p>
            <w:pPr>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1∶25万</w:t>
            </w:r>
          </w:p>
        </w:tc>
      </w:tr>
      <w:tr>
        <w:tblPrEx>
          <w:tblCellMar>
            <w:top w:w="0" w:type="dxa"/>
            <w:left w:w="108" w:type="dxa"/>
            <w:bottom w:w="0" w:type="dxa"/>
            <w:right w:w="108" w:type="dxa"/>
          </w:tblCellMar>
        </w:tblPrEx>
        <w:trPr>
          <w:trHeight w:val="285" w:hRule="atLeast"/>
          <w:jc w:val="center"/>
        </w:trPr>
        <w:tc>
          <w:tcPr>
            <w:tcW w:w="1332" w:type="dxa"/>
            <w:tcBorders>
              <w:top w:val="nil"/>
              <w:left w:val="nil"/>
              <w:bottom w:val="nil"/>
              <w:right w:val="nil"/>
            </w:tcBorders>
            <w:vAlign w:val="center"/>
          </w:tcPr>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附图三</w:t>
            </w:r>
          </w:p>
        </w:tc>
        <w:tc>
          <w:tcPr>
            <w:tcW w:w="5953" w:type="dxa"/>
            <w:tcBorders>
              <w:top w:val="nil"/>
              <w:left w:val="nil"/>
              <w:bottom w:val="nil"/>
              <w:right w:val="nil"/>
            </w:tcBorders>
            <w:vAlign w:val="center"/>
          </w:tcPr>
          <w:p>
            <w:pPr>
              <w:spacing w:line="560" w:lineRule="exact"/>
              <w:rPr>
                <w:rFonts w:ascii="仿宋_GB2312" w:hAnsi="宋体" w:eastAsia="仿宋_GB2312" w:cs="宋体"/>
                <w:sz w:val="28"/>
                <w:szCs w:val="28"/>
              </w:rPr>
            </w:pPr>
            <w:r>
              <w:rPr>
                <w:rFonts w:hint="eastAsia" w:ascii="仿宋_GB2312" w:hAnsi="宋体" w:eastAsia="仿宋_GB2312" w:cs="宋体"/>
                <w:sz w:val="28"/>
                <w:szCs w:val="28"/>
              </w:rPr>
              <w:t>新疆民丰县矿产资源勘查规划图</w:t>
            </w:r>
          </w:p>
        </w:tc>
        <w:tc>
          <w:tcPr>
            <w:tcW w:w="1613" w:type="dxa"/>
            <w:tcBorders>
              <w:top w:val="nil"/>
              <w:left w:val="nil"/>
              <w:bottom w:val="nil"/>
              <w:right w:val="nil"/>
            </w:tcBorders>
            <w:vAlign w:val="center"/>
          </w:tcPr>
          <w:p>
            <w:pPr>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1∶25万</w:t>
            </w:r>
          </w:p>
        </w:tc>
      </w:tr>
      <w:tr>
        <w:tblPrEx>
          <w:tblCellMar>
            <w:top w:w="0" w:type="dxa"/>
            <w:left w:w="108" w:type="dxa"/>
            <w:bottom w:w="0" w:type="dxa"/>
            <w:right w:w="108" w:type="dxa"/>
          </w:tblCellMar>
        </w:tblPrEx>
        <w:trPr>
          <w:trHeight w:val="285" w:hRule="atLeast"/>
          <w:jc w:val="center"/>
        </w:trPr>
        <w:tc>
          <w:tcPr>
            <w:tcW w:w="1332" w:type="dxa"/>
            <w:tcBorders>
              <w:top w:val="nil"/>
              <w:left w:val="nil"/>
              <w:bottom w:val="nil"/>
              <w:right w:val="nil"/>
            </w:tcBorders>
            <w:vAlign w:val="center"/>
          </w:tcPr>
          <w:p>
            <w:pPr>
              <w:spacing w:line="5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附图四</w:t>
            </w:r>
          </w:p>
        </w:tc>
        <w:tc>
          <w:tcPr>
            <w:tcW w:w="5953" w:type="dxa"/>
            <w:tcBorders>
              <w:top w:val="nil"/>
              <w:left w:val="nil"/>
              <w:bottom w:val="nil"/>
              <w:right w:val="nil"/>
            </w:tcBorders>
            <w:vAlign w:val="center"/>
          </w:tcPr>
          <w:p>
            <w:pPr>
              <w:spacing w:line="560" w:lineRule="exact"/>
              <w:rPr>
                <w:rFonts w:ascii="仿宋_GB2312" w:hAnsi="宋体" w:eastAsia="仿宋_GB2312" w:cs="宋体"/>
                <w:sz w:val="28"/>
                <w:szCs w:val="28"/>
              </w:rPr>
            </w:pPr>
            <w:r>
              <w:rPr>
                <w:rFonts w:hint="eastAsia" w:ascii="仿宋_GB2312" w:hAnsi="宋体" w:eastAsia="仿宋_GB2312" w:cs="宋体"/>
                <w:sz w:val="28"/>
                <w:szCs w:val="28"/>
              </w:rPr>
              <w:t>新疆民丰县矿产资源开采规划图</w:t>
            </w:r>
          </w:p>
        </w:tc>
        <w:tc>
          <w:tcPr>
            <w:tcW w:w="1613" w:type="dxa"/>
            <w:tcBorders>
              <w:top w:val="nil"/>
              <w:left w:val="nil"/>
              <w:bottom w:val="nil"/>
              <w:right w:val="nil"/>
            </w:tcBorders>
            <w:vAlign w:val="center"/>
          </w:tcPr>
          <w:p>
            <w:pPr>
              <w:spacing w:line="5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1∶25万</w:t>
            </w:r>
          </w:p>
        </w:tc>
      </w:tr>
    </w:tbl>
    <w:p>
      <w:pPr>
        <w:spacing w:line="560" w:lineRule="exact"/>
        <w:rPr>
          <w:rFonts w:ascii="仿宋_GB2312" w:hAnsi="仿宋" w:eastAsia="仿宋_GB2312" w:cs="宋体"/>
          <w:sz w:val="32"/>
          <w:szCs w:val="32"/>
        </w:rPr>
        <w:sectPr>
          <w:footerReference r:id="rId4" w:type="default"/>
          <w:pgSz w:w="11906" w:h="16838"/>
          <w:pgMar w:top="1440" w:right="1418" w:bottom="1440" w:left="1418" w:header="851" w:footer="992" w:gutter="0"/>
          <w:cols w:space="720" w:num="1"/>
          <w:docGrid w:type="lines" w:linePitch="312" w:charSpace="0"/>
        </w:sectPr>
      </w:pPr>
    </w:p>
    <w:p>
      <w:pPr>
        <w:pStyle w:val="3"/>
        <w:spacing w:before="120" w:after="120" w:line="360" w:lineRule="auto"/>
        <w:jc w:val="center"/>
        <w:rPr>
          <w:rFonts w:ascii="宋体" w:hAnsi="宋体" w:cs="宋体"/>
        </w:rPr>
      </w:pPr>
      <w:bookmarkStart w:id="0" w:name="_Toc32600"/>
      <w:bookmarkStart w:id="1" w:name="_Toc26349"/>
      <w:r>
        <w:rPr>
          <w:rFonts w:hint="eastAsia" w:ascii="宋体" w:hAnsi="宋体" w:cs="宋体"/>
        </w:rPr>
        <w:t>总  则</w:t>
      </w:r>
      <w:bookmarkEnd w:id="0"/>
      <w:bookmarkEnd w:id="1"/>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《新疆维吾尔自治区民丰县矿产资源总体规划（2021-2025 年）》（以下简称《规划》）是规划期内（2021-2025年）本行政区矿产资源勘查、开发利用与保护的纲领性文件；是依法审批和监督管理本行政区矿产资源勘查、开发利用活动的重要依据。</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规划》是落实国家资源安全战略、落实自治区、和田地区规划、落实空间管控要求、加强和改善矿产资源宏观管理的重要手段，是依法审批和监督管理地质勘查、矿产资源开发利用与保护、矿山地质环境治理的重要依据，是加强矿业宏观调控的基本手段。</w:t>
      </w:r>
    </w:p>
    <w:p>
      <w:pPr>
        <w:pStyle w:val="4"/>
        <w:adjustRightInd w:val="0"/>
        <w:snapToGrid w:val="0"/>
        <w:spacing w:before="240" w:after="0" w:line="360" w:lineRule="auto"/>
        <w:jc w:val="center"/>
        <w:rPr>
          <w:rFonts w:ascii="宋体" w:hAnsi="宋体" w:cs="宋体"/>
        </w:rPr>
      </w:pPr>
      <w:bookmarkStart w:id="2" w:name="_Toc3922"/>
      <w:bookmarkStart w:id="3" w:name="_Toc25452"/>
      <w:r>
        <w:rPr>
          <w:rFonts w:hint="eastAsia" w:ascii="宋体" w:hAnsi="宋体" w:cs="宋体"/>
        </w:rPr>
        <w:t>第一节  编制依据</w:t>
      </w:r>
      <w:bookmarkEnd w:id="2"/>
      <w:bookmarkEnd w:id="3"/>
    </w:p>
    <w:p>
      <w:pPr>
        <w:widowControl/>
        <w:adjustRightInd w:val="0"/>
        <w:snapToGrid w:val="0"/>
        <w:spacing w:line="560" w:lineRule="exact"/>
        <w:ind w:firstLine="640" w:firstLineChars="200"/>
        <w:rPr>
          <w:rFonts w:ascii="仿宋_GB2312" w:hAnsi="仿宋" w:eastAsia="仿宋_GB2312" w:cs="宋体"/>
          <w:sz w:val="32"/>
          <w:szCs w:val="32"/>
        </w:rPr>
      </w:pPr>
      <w:bookmarkStart w:id="4" w:name="_Toc19218"/>
      <w:bookmarkStart w:id="5" w:name="_Toc2840"/>
      <w:r>
        <w:rPr>
          <w:rFonts w:hint="eastAsia" w:ascii="仿宋_GB2312" w:hAnsi="仿宋" w:eastAsia="仿宋_GB2312" w:cs="宋体"/>
          <w:sz w:val="32"/>
          <w:szCs w:val="32"/>
        </w:rPr>
        <w:t>1、《中华人民共和国矿产资源法》；</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2、《矿产资源规划编制实施办法》（国土资源部令第55号）；</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3、自然资源部关于全面开展矿产资源规划（2021-2025年）编制工作的通知［自然资发（2020）43号］；</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4、自然资源部办公厅关于印发《省级矿产资源总体规划编制技术规程》和《市县级矿产资源总体规划编制要点》的通知［自然资办发（2020） 19号］；</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5、《自然资源部关于加快推进矿产资源规划数据库（2021-2025年）建设有关工作的通知》［自然资办函（2021）2004号］</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6、《新疆维吾尔自治区矿产资源总体规划（2021-2025年）》；</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7、《新疆维吾尔自治区国民经济和社会发展第十四个五年规划和2035年远景目标纲要》；</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8、《新疆维吾尔自治区和田地区国民经济和社会发展第十四个五年规划和2035年远景目标纲要》；</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9、《新疆维吾尔自治区和田地区矿产资源总体规划（2021-2025年）》；</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10、《民丰县国民经济和社会发展第十四个五年规划和2035年远景目标纲要》；</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11、《新疆维吾尔自治区民丰县国土空间总体规划（2021－2025年）》；</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12、矿产资源管理及相关产业政策</w:t>
      </w:r>
    </w:p>
    <w:p>
      <w:pPr>
        <w:pStyle w:val="4"/>
        <w:adjustRightInd w:val="0"/>
        <w:snapToGrid w:val="0"/>
        <w:spacing w:before="240" w:after="0" w:line="360" w:lineRule="auto"/>
        <w:jc w:val="center"/>
        <w:rPr>
          <w:rFonts w:ascii="宋体" w:hAnsi="宋体" w:cs="宋体"/>
        </w:rPr>
      </w:pPr>
      <w:r>
        <w:rPr>
          <w:rFonts w:hint="eastAsia" w:ascii="宋体" w:hAnsi="宋体" w:cs="宋体"/>
        </w:rPr>
        <w:t>第二节  规划目的</w:t>
      </w:r>
      <w:bookmarkEnd w:id="4"/>
      <w:bookmarkEnd w:id="5"/>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规划》引导全县矿业经济发展，服务和改善民生，加强生态保护，强化监督管理，着力落实上级规划部署要求，确保规划目标指标和任务落地、空间布局落地、勘查开发准入条件和管理措施落地。《规划》同时对本级依法审批管理矿种的勘查、开发利用与保护活动做出具体安排。</w:t>
      </w:r>
    </w:p>
    <w:p>
      <w:pPr>
        <w:pStyle w:val="4"/>
        <w:adjustRightInd w:val="0"/>
        <w:snapToGrid w:val="0"/>
        <w:spacing w:before="240" w:after="0" w:line="360" w:lineRule="auto"/>
        <w:jc w:val="center"/>
        <w:rPr>
          <w:rFonts w:ascii="宋体" w:hAnsi="宋体" w:cs="宋体"/>
        </w:rPr>
      </w:pPr>
      <w:bookmarkStart w:id="6" w:name="_Toc22472"/>
      <w:bookmarkStart w:id="7" w:name="_Toc2548"/>
      <w:r>
        <w:rPr>
          <w:rFonts w:hint="eastAsia" w:ascii="宋体" w:hAnsi="宋体" w:cs="宋体"/>
        </w:rPr>
        <w:t>第三节  适用范围</w:t>
      </w:r>
      <w:bookmarkEnd w:id="6"/>
      <w:bookmarkEnd w:id="7"/>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本《规划》适用于民丰县行政辖区范围。</w:t>
      </w:r>
    </w:p>
    <w:p>
      <w:pPr>
        <w:pStyle w:val="4"/>
        <w:adjustRightInd w:val="0"/>
        <w:snapToGrid w:val="0"/>
        <w:spacing w:before="240" w:after="0" w:line="360" w:lineRule="auto"/>
        <w:jc w:val="center"/>
        <w:rPr>
          <w:rFonts w:ascii="宋体" w:hAnsi="宋体" w:cs="宋体"/>
        </w:rPr>
      </w:pPr>
      <w:bookmarkStart w:id="8" w:name="_Toc1052"/>
      <w:bookmarkStart w:id="9" w:name="_Toc10314"/>
      <w:r>
        <w:rPr>
          <w:rFonts w:hint="eastAsia" w:ascii="宋体" w:hAnsi="宋体" w:cs="宋体"/>
        </w:rPr>
        <w:t>第四节  规划期及基准年</w:t>
      </w:r>
      <w:bookmarkEnd w:id="8"/>
      <w:bookmarkEnd w:id="9"/>
    </w:p>
    <w:p>
      <w:pPr>
        <w:pStyle w:val="22"/>
        <w:ind w:firstLine="640"/>
        <w:rPr>
          <w:rFonts w:ascii="仿宋_GB2312" w:hAnsi="仿宋"/>
          <w:sz w:val="32"/>
          <w:szCs w:val="32"/>
        </w:rPr>
      </w:pPr>
      <w:r>
        <w:rPr>
          <w:rFonts w:hint="eastAsia" w:ascii="仿宋_GB2312" w:hAnsi="仿宋" w:cs="宋体"/>
          <w:sz w:val="32"/>
          <w:szCs w:val="32"/>
        </w:rPr>
        <w:t>规划期为5年，以2020年为基准年，2021-2025年为规划期，展望到2035年。</w:t>
      </w:r>
    </w:p>
    <w:p>
      <w:pPr>
        <w:pStyle w:val="22"/>
        <w:ind w:firstLine="640"/>
        <w:rPr>
          <w:rFonts w:ascii="仿宋_GB2312" w:hAnsi="仿宋"/>
          <w:sz w:val="32"/>
          <w:szCs w:val="32"/>
        </w:rPr>
      </w:pPr>
    </w:p>
    <w:p>
      <w:pPr>
        <w:pStyle w:val="3"/>
        <w:spacing w:before="120" w:after="120" w:line="360" w:lineRule="auto"/>
        <w:jc w:val="center"/>
        <w:rPr>
          <w:rFonts w:ascii="仿宋_GB2312" w:hAnsi="仿宋" w:eastAsia="仿宋_GB2312" w:cs="宋体"/>
          <w:sz w:val="32"/>
          <w:szCs w:val="32"/>
        </w:rPr>
        <w:sectPr>
          <w:pgSz w:w="11906" w:h="16838"/>
          <w:pgMar w:top="1440" w:right="1418" w:bottom="1440" w:left="1418" w:header="851" w:footer="992" w:gutter="0"/>
          <w:cols w:space="720" w:num="1"/>
          <w:docGrid w:type="lines" w:linePitch="312" w:charSpace="0"/>
        </w:sectPr>
      </w:pPr>
      <w:bookmarkStart w:id="10" w:name="_Toc19967"/>
    </w:p>
    <w:p>
      <w:pPr>
        <w:pStyle w:val="3"/>
        <w:spacing w:before="120" w:after="120" w:line="360" w:lineRule="auto"/>
        <w:jc w:val="center"/>
        <w:rPr>
          <w:rFonts w:ascii="宋体" w:hAnsi="宋体" w:cs="宋体"/>
        </w:rPr>
      </w:pPr>
      <w:bookmarkStart w:id="11" w:name="_Toc2482"/>
      <w:r>
        <w:rPr>
          <w:rFonts w:hint="eastAsia" w:ascii="宋体" w:hAnsi="宋体" w:cs="宋体"/>
        </w:rPr>
        <w:t>第一章  现状与形势</w:t>
      </w:r>
      <w:bookmarkEnd w:id="10"/>
      <w:bookmarkEnd w:id="11"/>
    </w:p>
    <w:p>
      <w:pPr>
        <w:pStyle w:val="4"/>
        <w:adjustRightInd w:val="0"/>
        <w:snapToGrid w:val="0"/>
        <w:spacing w:before="240" w:after="0" w:line="360" w:lineRule="auto"/>
        <w:jc w:val="center"/>
        <w:rPr>
          <w:rFonts w:ascii="宋体" w:hAnsi="宋体" w:cs="宋体"/>
        </w:rPr>
      </w:pPr>
      <w:bookmarkStart w:id="12" w:name="_Toc4982"/>
      <w:bookmarkStart w:id="13" w:name="_Toc9825"/>
      <w:r>
        <w:rPr>
          <w:rFonts w:hint="eastAsia" w:ascii="宋体" w:hAnsi="宋体" w:cs="宋体"/>
        </w:rPr>
        <w:t>第一节  民丰县概况</w:t>
      </w:r>
      <w:bookmarkEnd w:id="12"/>
      <w:bookmarkEnd w:id="13"/>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民丰县隶属于新疆维吾尔自治区和田地区，位于</w:t>
      </w:r>
      <w:r>
        <w:fldChar w:fldCharType="begin"/>
      </w:r>
      <w:r>
        <w:instrText xml:space="preserve"> HYPERLINK "https://baike.baidu.com/item/æä" </w:instrText>
      </w:r>
      <w:r>
        <w:fldChar w:fldCharType="separate"/>
      </w:r>
      <w:r>
        <w:rPr>
          <w:rFonts w:hint="eastAsia" w:ascii="仿宋_GB2312" w:hAnsi="仿宋" w:eastAsia="仿宋_GB2312" w:cs="宋体"/>
          <w:sz w:val="32"/>
          <w:szCs w:val="32"/>
        </w:rPr>
        <w:t>昆仑山</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北麓、地处东经82°22'～84°55'，北纬35°20'～39°29'之间。位于</w:t>
      </w:r>
      <w:r>
        <w:fldChar w:fldCharType="begin"/>
      </w:r>
      <w:r>
        <w:instrText xml:space="preserve"> HYPERLINK "https://baike.baidu.com/item/å¡åæçå¹²æ²æ¼ " \t "https://baike.baidu.com/item/%E6%B0%91%E4%B8%B0%E5%8E%BF/_blank" </w:instrText>
      </w:r>
      <w:r>
        <w:fldChar w:fldCharType="separate"/>
      </w:r>
      <w:r>
        <w:rPr>
          <w:rFonts w:hint="eastAsia" w:ascii="仿宋_GB2312" w:hAnsi="仿宋" w:eastAsia="仿宋_GB2312" w:cs="宋体"/>
          <w:sz w:val="32"/>
          <w:szCs w:val="32"/>
        </w:rPr>
        <w:t>塔克拉玛干沙漠</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南缘。东临</w:t>
      </w:r>
      <w:r>
        <w:fldChar w:fldCharType="begin"/>
      </w:r>
      <w:r>
        <w:instrText xml:space="preserve"> HYPERLINK "https://baike.baidu.com/item/ä¸æ" </w:instrText>
      </w:r>
      <w:r>
        <w:fldChar w:fldCharType="separate"/>
      </w:r>
      <w:r>
        <w:rPr>
          <w:rFonts w:hint="eastAsia" w:ascii="仿宋_GB2312" w:hAnsi="仿宋" w:eastAsia="仿宋_GB2312" w:cs="宋体"/>
          <w:sz w:val="32"/>
          <w:szCs w:val="32"/>
        </w:rPr>
        <w:t>且末县</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，西连于田县，南越昆仑山接西藏</w:t>
      </w:r>
      <w:r>
        <w:fldChar w:fldCharType="begin"/>
      </w:r>
      <w:r>
        <w:instrText xml:space="preserve"> HYPERLINK "https://baike.baidu.com/item/æ¹åå¿/3374433" \t "https://baike.baidu.com/item/%E6%B0%91%E4%B8%B0%E5%8E%BF/_blank" </w:instrText>
      </w:r>
      <w:r>
        <w:fldChar w:fldCharType="separate"/>
      </w:r>
      <w:r>
        <w:rPr>
          <w:rFonts w:hint="eastAsia" w:ascii="仿宋_GB2312" w:hAnsi="仿宋" w:eastAsia="仿宋_GB2312" w:cs="宋体"/>
          <w:sz w:val="32"/>
          <w:szCs w:val="32"/>
        </w:rPr>
        <w:t>改则县</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，北靠</w:t>
      </w:r>
      <w:r>
        <w:fldChar w:fldCharType="begin"/>
      </w:r>
      <w:r>
        <w:instrText xml:space="preserve"> HYPERLINK "https://baike.baidu.com/item/é¿åè/13207961" \t "https://baike.baidu.com/item/%E6%B0%91%E4%B8%B0%E5%8E%BF/_blank" </w:instrText>
      </w:r>
      <w:r>
        <w:fldChar w:fldCharType="separate"/>
      </w:r>
      <w:r>
        <w:rPr>
          <w:rFonts w:hint="eastAsia" w:ascii="仿宋_GB2312" w:hAnsi="仿宋" w:eastAsia="仿宋_GB2312" w:cs="宋体"/>
          <w:sz w:val="32"/>
          <w:szCs w:val="32"/>
        </w:rPr>
        <w:t>阿克苏</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地区</w:t>
      </w:r>
      <w:r>
        <w:fldChar w:fldCharType="begin"/>
      </w:r>
      <w:r>
        <w:instrText xml:space="preserve"> HYPERLINK "https://baike.baidu.com/item/æ²éå¿/4585516" \t "https://baike.baidu.com/item/%E6%B0%91%E4%B8%B0%E5%8E%BF/_blank" </w:instrText>
      </w:r>
      <w:r>
        <w:fldChar w:fldCharType="separate"/>
      </w:r>
      <w:r>
        <w:rPr>
          <w:rFonts w:hint="eastAsia" w:ascii="仿宋_GB2312" w:hAnsi="仿宋" w:eastAsia="仿宋_GB2312" w:cs="宋体"/>
          <w:sz w:val="32"/>
          <w:szCs w:val="32"/>
        </w:rPr>
        <w:t>沙雅县</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，总面积56702.91平方千米。民丰县辖1个镇、6个乡:尼雅镇、</w:t>
      </w:r>
      <w:r>
        <w:fldChar w:fldCharType="begin"/>
      </w:r>
      <w:r>
        <w:instrText xml:space="preserve"> HYPERLINK "https://baike.baidu.com/item/%E5%B0%BC%E9%9B%85%E4%B9%A1" \t "https://baike.baidu.com/item/%E6%B0%91%E4%B8%B0%E5%8E%BF/_blank" </w:instrText>
      </w:r>
      <w:r>
        <w:fldChar w:fldCharType="separate"/>
      </w:r>
      <w:r>
        <w:rPr>
          <w:rFonts w:hint="eastAsia" w:ascii="仿宋_GB2312" w:hAnsi="仿宋" w:eastAsia="仿宋_GB2312" w:cs="宋体"/>
          <w:sz w:val="32"/>
          <w:szCs w:val="32"/>
        </w:rPr>
        <w:t>尼雅乡</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w:t>
      </w:r>
      <w:r>
        <w:fldChar w:fldCharType="begin"/>
      </w:r>
      <w:r>
        <w:instrText xml:space="preserve"> HYPERLINK "https://baike.baidu.com/item/%E8%8B%A5%E5%85%8B%E9%9B%85%E4%B9%A1" \t "https://baike.baidu.com/item/%E6%B0%91%E4%B8%B0%E5%8E%BF/_blank" </w:instrText>
      </w:r>
      <w:r>
        <w:fldChar w:fldCharType="separate"/>
      </w:r>
      <w:r>
        <w:rPr>
          <w:rFonts w:hint="eastAsia" w:ascii="仿宋_GB2312" w:hAnsi="仿宋" w:eastAsia="仿宋_GB2312" w:cs="宋体"/>
          <w:sz w:val="32"/>
          <w:szCs w:val="32"/>
        </w:rPr>
        <w:t>若克雅乡</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w:t>
      </w:r>
      <w:r>
        <w:fldChar w:fldCharType="begin"/>
      </w:r>
      <w:r>
        <w:instrText xml:space="preserve"> HYPERLINK "https://baike.baidu.com/item/%E8%90%A8%E5%8B%92%E5%90%BE%E5%88%99%E5%85%8B%E4%B9%A1" \t "https://baike.baidu.com/item/%E6%B0%91%E4%B8%B0%E5%8E%BF/_blank" </w:instrText>
      </w:r>
      <w:r>
        <w:fldChar w:fldCharType="separate"/>
      </w:r>
      <w:r>
        <w:rPr>
          <w:rFonts w:hint="eastAsia" w:ascii="仿宋_GB2312" w:hAnsi="仿宋" w:eastAsia="仿宋_GB2312" w:cs="宋体"/>
          <w:sz w:val="32"/>
          <w:szCs w:val="32"/>
        </w:rPr>
        <w:t>萨勒吾则克乡</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w:t>
      </w:r>
      <w:r>
        <w:fldChar w:fldCharType="begin"/>
      </w:r>
      <w:r>
        <w:instrText xml:space="preserve"> HYPERLINK "https://baike.baidu.com/item/%E5%8F%B6%E4%BA%A6%E5%85%8B%E4%B9%A1" \t "https://baike.baidu.com/item/%E6%B0%91%E4%B8%B0%E5%8E%BF/_blank" </w:instrText>
      </w:r>
      <w:r>
        <w:fldChar w:fldCharType="separate"/>
      </w:r>
      <w:r>
        <w:rPr>
          <w:rFonts w:hint="eastAsia" w:ascii="仿宋_GB2312" w:hAnsi="仿宋" w:eastAsia="仿宋_GB2312" w:cs="宋体"/>
          <w:sz w:val="32"/>
          <w:szCs w:val="32"/>
        </w:rPr>
        <w:t>叶亦克乡</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w:t>
      </w:r>
      <w:r>
        <w:fldChar w:fldCharType="begin"/>
      </w:r>
      <w:r>
        <w:instrText xml:space="preserve"> HYPERLINK "https://baike.baidu.com/item/%E5%AE%89%E8%BF%AA%E5%B0%94%E4%B9%A1" \t "https://baike.baidu.com/item/%E6%B0%91%E4%B8%B0%E5%8E%BF/_blank" </w:instrText>
      </w:r>
      <w:r>
        <w:fldChar w:fldCharType="separate"/>
      </w:r>
      <w:r>
        <w:rPr>
          <w:rFonts w:hint="eastAsia" w:ascii="仿宋_GB2312" w:hAnsi="仿宋" w:eastAsia="仿宋_GB2312" w:cs="宋体"/>
          <w:sz w:val="32"/>
          <w:szCs w:val="32"/>
        </w:rPr>
        <w:t>安迪尔乡</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、亚瓦通古孜乡。</w:t>
      </w:r>
    </w:p>
    <w:p>
      <w:pPr>
        <w:pStyle w:val="4"/>
        <w:adjustRightInd w:val="0"/>
        <w:snapToGrid w:val="0"/>
        <w:spacing w:before="0" w:after="0" w:line="560" w:lineRule="exact"/>
        <w:rPr>
          <w:rFonts w:ascii="宋体" w:hAnsi="宋体" w:cs="宋体"/>
        </w:rPr>
      </w:pPr>
      <w:bookmarkStart w:id="14" w:name="_Toc647"/>
      <w:bookmarkStart w:id="15" w:name="_Toc21286"/>
    </w:p>
    <w:p>
      <w:pPr>
        <w:pStyle w:val="4"/>
        <w:adjustRightInd w:val="0"/>
        <w:snapToGrid w:val="0"/>
        <w:spacing w:before="0" w:after="0" w:line="560" w:lineRule="exact"/>
        <w:jc w:val="center"/>
        <w:rPr>
          <w:rFonts w:ascii="宋体" w:hAnsi="宋体" w:cs="宋体"/>
        </w:rPr>
      </w:pPr>
      <w:r>
        <w:rPr>
          <w:rFonts w:hint="eastAsia" w:ascii="宋体" w:hAnsi="宋体" w:cs="宋体"/>
        </w:rPr>
        <w:t>第二节  矿产资源概况和主要特点</w:t>
      </w:r>
      <w:bookmarkEnd w:id="14"/>
      <w:bookmarkEnd w:id="15"/>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16" w:name="_Toc13255"/>
      <w:r>
        <w:rPr>
          <w:rFonts w:hint="eastAsia" w:ascii="黑体" w:hAnsi="黑体" w:eastAsia="黑体" w:cs="宋体"/>
          <w:color w:val="auto"/>
          <w:sz w:val="32"/>
          <w:szCs w:val="32"/>
        </w:rPr>
        <w:t>一、查明资源概况</w:t>
      </w:r>
      <w:bookmarkEnd w:id="16"/>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民丰县矿产资源丰富，截至目前已发现的矿产资源种类有锑、铁、铜、铅、锌、金、钼、锰、汞、银、建筑用砂等（专栏1-1），主要分布在民丰县南部山区地带。</w:t>
      </w:r>
    </w:p>
    <w:p>
      <w:pPr>
        <w:tabs>
          <w:tab w:val="left" w:pos="540"/>
        </w:tabs>
        <w:spacing w:line="540" w:lineRule="exact"/>
        <w:rPr>
          <w:rFonts w:ascii="楷体" w:hAnsi="楷体" w:eastAsia="楷体" w:cs="宋体"/>
          <w:kern w:val="0"/>
          <w:szCs w:val="21"/>
        </w:rPr>
      </w:pPr>
      <w:r>
        <w:rPr>
          <w:rFonts w:hint="eastAsia" w:ascii="楷体" w:hAnsi="楷体" w:eastAsia="楷体" w:cs="宋体"/>
          <w:b/>
          <w:bCs/>
          <w:szCs w:val="21"/>
        </w:rPr>
        <w:t>专栏1-1                    主要矿产累计查明资源储量统计表</w:t>
      </w:r>
    </w:p>
    <w:tbl>
      <w:tblPr>
        <w:tblStyle w:val="27"/>
        <w:tblW w:w="8470" w:type="dxa"/>
        <w:jc w:val="center"/>
        <w:tblLayout w:type="fixed"/>
        <w:tblCellMar>
          <w:top w:w="0" w:type="dxa"/>
          <w:left w:w="108" w:type="dxa"/>
          <w:bottom w:w="0" w:type="dxa"/>
          <w:right w:w="108" w:type="dxa"/>
        </w:tblCellMar>
      </w:tblPr>
      <w:tblGrid>
        <w:gridCol w:w="850"/>
        <w:gridCol w:w="2482"/>
        <w:gridCol w:w="1664"/>
        <w:gridCol w:w="1812"/>
        <w:gridCol w:w="1662"/>
      </w:tblGrid>
      <w:tr>
        <w:tblPrEx>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4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矿产名称</w:t>
            </w:r>
          </w:p>
        </w:tc>
        <w:tc>
          <w:tcPr>
            <w:tcW w:w="16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矿区数（个）</w:t>
            </w:r>
          </w:p>
        </w:tc>
        <w:tc>
          <w:tcPr>
            <w:tcW w:w="18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资源储量单位</w:t>
            </w:r>
          </w:p>
        </w:tc>
        <w:tc>
          <w:tcPr>
            <w:tcW w:w="16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保有资源储量</w:t>
            </w:r>
          </w:p>
        </w:tc>
      </w:tr>
      <w:tr>
        <w:tblPrEx>
          <w:tblCellMar>
            <w:top w:w="0" w:type="dxa"/>
            <w:left w:w="108" w:type="dxa"/>
            <w:bottom w:w="0" w:type="dxa"/>
            <w:right w:w="108" w:type="dxa"/>
          </w:tblCellMar>
        </w:tblPrEx>
        <w:trPr>
          <w:trHeight w:val="285" w:hRule="atLeast"/>
          <w:jc w:val="center"/>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248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锑矿</w:t>
            </w:r>
          </w:p>
        </w:tc>
        <w:tc>
          <w:tcPr>
            <w:tcW w:w="166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锑 万吨</w:t>
            </w:r>
          </w:p>
        </w:tc>
        <w:tc>
          <w:tcPr>
            <w:tcW w:w="166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20.36</w:t>
            </w:r>
          </w:p>
        </w:tc>
      </w:tr>
      <w:tr>
        <w:tblPrEx>
          <w:tblCellMar>
            <w:top w:w="0" w:type="dxa"/>
            <w:left w:w="108" w:type="dxa"/>
            <w:bottom w:w="0" w:type="dxa"/>
            <w:right w:w="108" w:type="dxa"/>
          </w:tblCellMar>
        </w:tblPrEx>
        <w:trPr>
          <w:trHeight w:val="285" w:hRule="atLeast"/>
          <w:jc w:val="center"/>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248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铅矿</w:t>
            </w:r>
          </w:p>
        </w:tc>
        <w:tc>
          <w:tcPr>
            <w:tcW w:w="166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铅 万吨</w:t>
            </w:r>
          </w:p>
        </w:tc>
        <w:tc>
          <w:tcPr>
            <w:tcW w:w="166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3.86</w:t>
            </w:r>
          </w:p>
        </w:tc>
      </w:tr>
      <w:tr>
        <w:tblPrEx>
          <w:tblCellMar>
            <w:top w:w="0" w:type="dxa"/>
            <w:left w:w="108" w:type="dxa"/>
            <w:bottom w:w="0" w:type="dxa"/>
            <w:right w:w="108" w:type="dxa"/>
          </w:tblCellMar>
        </w:tblPrEx>
        <w:trPr>
          <w:trHeight w:val="285" w:hRule="atLeast"/>
          <w:jc w:val="center"/>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248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金矿</w:t>
            </w:r>
          </w:p>
        </w:tc>
        <w:tc>
          <w:tcPr>
            <w:tcW w:w="166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金 千克</w:t>
            </w:r>
          </w:p>
        </w:tc>
        <w:tc>
          <w:tcPr>
            <w:tcW w:w="166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179</w:t>
            </w:r>
          </w:p>
        </w:tc>
      </w:tr>
      <w:tr>
        <w:tblPrEx>
          <w:tblCellMar>
            <w:top w:w="0" w:type="dxa"/>
            <w:left w:w="108" w:type="dxa"/>
            <w:bottom w:w="0" w:type="dxa"/>
            <w:right w:w="108" w:type="dxa"/>
          </w:tblCellMar>
        </w:tblPrEx>
        <w:trPr>
          <w:trHeight w:val="285" w:hRule="atLeast"/>
          <w:jc w:val="center"/>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248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砂金</w:t>
            </w:r>
          </w:p>
        </w:tc>
        <w:tc>
          <w:tcPr>
            <w:tcW w:w="166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金 千克</w:t>
            </w:r>
          </w:p>
        </w:tc>
        <w:tc>
          <w:tcPr>
            <w:tcW w:w="166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5451.44</w:t>
            </w:r>
          </w:p>
        </w:tc>
      </w:tr>
      <w:tr>
        <w:tblPrEx>
          <w:tblCellMar>
            <w:top w:w="0" w:type="dxa"/>
            <w:left w:w="108" w:type="dxa"/>
            <w:bottom w:w="0" w:type="dxa"/>
            <w:right w:w="108" w:type="dxa"/>
          </w:tblCellMar>
        </w:tblPrEx>
        <w:trPr>
          <w:trHeight w:val="285" w:hRule="atLeast"/>
          <w:jc w:val="center"/>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248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建筑用砂石</w:t>
            </w:r>
          </w:p>
        </w:tc>
        <w:tc>
          <w:tcPr>
            <w:tcW w:w="166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25</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矿石 千立方米</w:t>
            </w:r>
          </w:p>
        </w:tc>
        <w:tc>
          <w:tcPr>
            <w:tcW w:w="166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529.2</w:t>
            </w:r>
          </w:p>
        </w:tc>
      </w:tr>
      <w:tr>
        <w:tblPrEx>
          <w:tblCellMar>
            <w:top w:w="0" w:type="dxa"/>
            <w:left w:w="108" w:type="dxa"/>
            <w:bottom w:w="0" w:type="dxa"/>
            <w:right w:w="108" w:type="dxa"/>
          </w:tblCellMar>
        </w:tblPrEx>
        <w:trPr>
          <w:trHeight w:val="28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24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玉石</w:t>
            </w:r>
          </w:p>
        </w:tc>
        <w:tc>
          <w:tcPr>
            <w:tcW w:w="16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吨</w:t>
            </w:r>
          </w:p>
        </w:tc>
        <w:tc>
          <w:tcPr>
            <w:tcW w:w="16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3975</w:t>
            </w:r>
          </w:p>
        </w:tc>
      </w:tr>
    </w:tbl>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17" w:name="_Toc770"/>
      <w:r>
        <w:rPr>
          <w:rFonts w:hint="eastAsia" w:ascii="黑体" w:hAnsi="黑体" w:eastAsia="黑体" w:cs="宋体"/>
          <w:color w:val="auto"/>
          <w:sz w:val="32"/>
          <w:szCs w:val="32"/>
        </w:rPr>
        <w:t>二、矿产资源特点</w:t>
      </w:r>
      <w:bookmarkEnd w:id="17"/>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1、成矿地质条件较好</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从区域成矿背景上来看，民丰北部平原、沙漠地带属于塔里木板块；南部山区主体位于东昆仑西段和西昆仑东段（以苦牙克深断裂为界），在区域构造位置上界于塔里木板块与印度—冈底斯板块之间，属于青藏高原北缘，位于中国中部的秦祁昆中央造山带的最西段，属于古亚洲构造域与特提斯构造域的交接部位，具有极好的成矿地质背景。</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2、矿产类型较多</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民丰县矿产种类较多，包括：</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有色金属：锑、铅锌、铜、汞；</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黑色金属：铁；</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稀有金属：锂；</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贵金属：金、银。</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能源矿产：北部山前有煤矿，盆地中发现有油、气资源。</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宝玉石：和田玉山料、宝石有找矿线索。</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盐类矿产：高山盐湖中的盐类矿产，具钾盐、锂盐、硼砂等找矿前景。</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其它非金属建材矿产：有丰富的石灰岩（大理岩）、石英岩、建筑用砂矿、砖瓦用粘土及石膏等。</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3、矿石质量好、价值高</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黄羊岭—硝尔库勒-阿什库勒锑矿带矿石品位较高，多伴生有铅、汞，常见20%以上的富锑矿，局部块状矿石品位超过50%。</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 砂金资源丰富，苏呼拉克、康赛因等地都是有悠久开采历史的砂金矿，部分矿段品位极富，常见明金。</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18" w:name="_Toc4138"/>
      <w:r>
        <w:rPr>
          <w:rFonts w:hint="eastAsia" w:ascii="黑体" w:hAnsi="黑体" w:eastAsia="黑体" w:cs="宋体"/>
          <w:color w:val="auto"/>
          <w:sz w:val="32"/>
          <w:szCs w:val="32"/>
        </w:rPr>
        <w:t>三、地质矿产勘查与开发利用潜力</w:t>
      </w:r>
      <w:bookmarkEnd w:id="18"/>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黄羊岭-硝尔库勒-阿什库勒锑矿带目前已发现多个大、中型锑矿床，远景有望达到超大型，矿带矿石品位较高，多伴生有铅、汞，常见20%以上的富锑矿，局部块状矿石品位超过50%。由于交通条件困难，勘查投入较少制约了该区的找矿进展，加大政策引导及找矿力度将取得更多找矿成果。</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民丰县位于西昆仑和田玉成矿带的东段，有较多矿化线索，应加大找矿及开发力度。另外，该区还有较多宝石、蛇纹玉矿化线索，超基性岩分布带内有碧玉矿化线索，显示了良好的宝玉石资源找矿前景。</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目前县域内锑矿作为开发的主力优势矿种，尚未形成开发规模，下游选冶企业也未形成，市场空间很大，开发利用潜力巨大，具备形成我国锑矿接替资源基地的条件和潜力。</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总体而言，民丰县成矿地质背景及构造复杂多样，成矿地质条件得天独厚，资源优势突出，产业待兴，勘查和开发的潜力巨大。</w:t>
      </w:r>
    </w:p>
    <w:p>
      <w:pPr>
        <w:pStyle w:val="4"/>
        <w:adjustRightInd w:val="0"/>
        <w:snapToGrid w:val="0"/>
        <w:spacing w:before="240" w:after="0" w:line="360" w:lineRule="auto"/>
        <w:jc w:val="center"/>
        <w:rPr>
          <w:rFonts w:ascii="宋体" w:hAnsi="宋体" w:cs="宋体"/>
        </w:rPr>
      </w:pPr>
      <w:bookmarkStart w:id="19" w:name="_Toc19870"/>
      <w:bookmarkStart w:id="20" w:name="_Toc15467"/>
      <w:r>
        <w:rPr>
          <w:rFonts w:hint="eastAsia" w:ascii="宋体" w:hAnsi="宋体" w:cs="宋体"/>
        </w:rPr>
        <w:t>第三节  上一轮矿产资源规划实施成效</w:t>
      </w:r>
      <w:bookmarkEnd w:id="19"/>
      <w:bookmarkEnd w:id="20"/>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21" w:name="_Toc9773"/>
      <w:r>
        <w:rPr>
          <w:rFonts w:hint="eastAsia" w:ascii="黑体" w:hAnsi="黑体" w:eastAsia="黑体" w:cs="宋体"/>
          <w:color w:val="auto"/>
          <w:sz w:val="32"/>
          <w:szCs w:val="32"/>
        </w:rPr>
        <w:t>一、基础地质调查及矿产勘查程度进一步提高</w:t>
      </w:r>
      <w:bookmarkEnd w:id="21"/>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民丰县第三轮矿产资源总体规划在实施期间虽然受到经济环境影响，三轮规划提出的主要指标已基本完成，部分三轮规划指标没有完成。指标分为约束性指标和预期性指标两类。 </w:t>
      </w:r>
    </w:p>
    <w:p>
      <w:pPr>
        <w:pStyle w:val="33"/>
        <w:jc w:val="both"/>
        <w:rPr>
          <w:rFonts w:ascii="楷体" w:hAnsi="楷体" w:eastAsia="楷体" w:cs="宋体"/>
          <w:bCs/>
          <w:sz w:val="21"/>
          <w:szCs w:val="21"/>
        </w:rPr>
      </w:pPr>
      <w:r>
        <w:rPr>
          <w:rFonts w:hint="eastAsia" w:ascii="楷体" w:hAnsi="楷体" w:eastAsia="楷体" w:cs="宋体"/>
          <w:bCs/>
          <w:sz w:val="21"/>
          <w:szCs w:val="21"/>
        </w:rPr>
        <w:t xml:space="preserve">专栏1-2                上轮矿产规划目标完成情况一览 </w:t>
      </w:r>
    </w:p>
    <w:tbl>
      <w:tblPr>
        <w:tblStyle w:val="27"/>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499"/>
        <w:gridCol w:w="3893"/>
        <w:gridCol w:w="2958"/>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14"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jc w:val="center"/>
              <w:rPr>
                <w:rFonts w:hAnsi="宋体" w:cs="宋体"/>
                <w:sz w:val="21"/>
              </w:rPr>
            </w:pPr>
            <w:r>
              <w:rPr>
                <w:rFonts w:hint="eastAsia" w:hAnsi="宋体" w:cs="宋体"/>
                <w:sz w:val="21"/>
              </w:rPr>
              <w:t>类别</w:t>
            </w:r>
          </w:p>
        </w:tc>
        <w:tc>
          <w:tcPr>
            <w:tcW w:w="499"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jc w:val="center"/>
              <w:rPr>
                <w:rFonts w:hAnsi="宋体" w:cs="宋体"/>
                <w:sz w:val="21"/>
              </w:rPr>
            </w:pPr>
            <w:r>
              <w:rPr>
                <w:rFonts w:hint="eastAsia" w:hAnsi="宋体" w:cs="宋体"/>
                <w:sz w:val="21"/>
              </w:rPr>
              <w:t>序号</w:t>
            </w:r>
          </w:p>
        </w:tc>
        <w:tc>
          <w:tcPr>
            <w:tcW w:w="3893"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jc w:val="center"/>
              <w:rPr>
                <w:rFonts w:hAnsi="宋体" w:cs="宋体"/>
                <w:sz w:val="21"/>
              </w:rPr>
            </w:pPr>
            <w:r>
              <w:rPr>
                <w:rFonts w:hint="eastAsia" w:hAnsi="宋体" w:cs="宋体"/>
                <w:sz w:val="21"/>
              </w:rPr>
              <w:t>第三轮规划指标</w:t>
            </w:r>
          </w:p>
        </w:tc>
        <w:tc>
          <w:tcPr>
            <w:tcW w:w="2958"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jc w:val="center"/>
              <w:rPr>
                <w:rFonts w:hAnsi="宋体" w:cs="宋体"/>
                <w:sz w:val="21"/>
              </w:rPr>
            </w:pPr>
            <w:r>
              <w:rPr>
                <w:rFonts w:hint="eastAsia" w:hAnsi="宋体" w:cs="宋体"/>
                <w:sz w:val="21"/>
              </w:rPr>
              <w:t>2020年底实施情况</w:t>
            </w:r>
          </w:p>
        </w:tc>
        <w:tc>
          <w:tcPr>
            <w:tcW w:w="914"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jc w:val="center"/>
              <w:rPr>
                <w:rFonts w:hAnsi="宋体" w:cs="宋体"/>
                <w:sz w:val="21"/>
              </w:rPr>
            </w:pPr>
            <w:r>
              <w:rPr>
                <w:rFonts w:hint="eastAsia" w:hAnsi="宋体" w:cs="宋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4" w:type="dxa"/>
            <w:vMerge w:val="restart"/>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地质调查和矿产资源勘查</w:t>
            </w: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1</w:t>
            </w:r>
          </w:p>
        </w:tc>
        <w:tc>
          <w:tcPr>
            <w:tcW w:w="3893"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jc w:val="left"/>
              <w:rPr>
                <w:rFonts w:hAnsi="宋体" w:cs="宋体"/>
                <w:sz w:val="21"/>
              </w:rPr>
            </w:pPr>
            <w:r>
              <w:rPr>
                <w:rFonts w:hint="eastAsia" w:hAnsi="宋体" w:cs="宋体"/>
                <w:sz w:val="21"/>
              </w:rPr>
              <w:t>铁矿2016-2020年新增查明资源储量5000万吨</w:t>
            </w:r>
          </w:p>
        </w:tc>
        <w:tc>
          <w:tcPr>
            <w:tcW w:w="2958" w:type="dxa"/>
            <w:tcBorders>
              <w:top w:val="single" w:color="auto" w:sz="4" w:space="0"/>
              <w:left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新增资源量0吨，完成0%</w:t>
            </w:r>
          </w:p>
        </w:tc>
        <w:tc>
          <w:tcPr>
            <w:tcW w:w="914" w:type="dxa"/>
            <w:vMerge w:val="restart"/>
            <w:tcBorders>
              <w:top w:val="single" w:color="auto" w:sz="4" w:space="0"/>
              <w:left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2</w:t>
            </w:r>
          </w:p>
        </w:tc>
        <w:tc>
          <w:tcPr>
            <w:tcW w:w="3893"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jc w:val="left"/>
              <w:rPr>
                <w:rFonts w:hAnsi="宋体" w:cs="宋体"/>
                <w:sz w:val="21"/>
              </w:rPr>
            </w:pPr>
            <w:r>
              <w:rPr>
                <w:rFonts w:hint="eastAsia" w:hAnsi="宋体" w:cs="宋体"/>
                <w:sz w:val="21"/>
              </w:rPr>
              <w:t>锑矿2016-2020年新增查明资源储量500万吨</w:t>
            </w:r>
          </w:p>
        </w:tc>
        <w:tc>
          <w:tcPr>
            <w:tcW w:w="2958" w:type="dxa"/>
            <w:tcBorders>
              <w:left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完成23万吨，完成4.6%</w:t>
            </w:r>
          </w:p>
        </w:tc>
        <w:tc>
          <w:tcPr>
            <w:tcW w:w="914" w:type="dxa"/>
            <w:vMerge w:val="continue"/>
            <w:tcBorders>
              <w:left w:val="single" w:color="auto" w:sz="4" w:space="0"/>
              <w:right w:val="single" w:color="auto" w:sz="4" w:space="0"/>
            </w:tcBorders>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exact"/>
        </w:trPr>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3</w:t>
            </w:r>
          </w:p>
        </w:tc>
        <w:tc>
          <w:tcPr>
            <w:tcW w:w="38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宋体"/>
                <w:szCs w:val="21"/>
              </w:rPr>
            </w:pPr>
            <w:r>
              <w:rPr>
                <w:rFonts w:hint="eastAsia" w:ascii="宋体" w:hAnsi="宋体" w:cs="宋体"/>
                <w:szCs w:val="21"/>
              </w:rPr>
              <w:t>提交可供工作的铜矿产地1-2处，提交可供进一步开发的矿产地1-2处。</w:t>
            </w:r>
          </w:p>
        </w:tc>
        <w:tc>
          <w:tcPr>
            <w:tcW w:w="2958" w:type="dxa"/>
            <w:tcBorders>
              <w:left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提交锑矿产地1处，完成100%</w:t>
            </w:r>
          </w:p>
        </w:tc>
        <w:tc>
          <w:tcPr>
            <w:tcW w:w="914" w:type="dxa"/>
            <w:vMerge w:val="continue"/>
            <w:tcBorders>
              <w:left w:val="single" w:color="auto" w:sz="4" w:space="0"/>
              <w:right w:val="single" w:color="auto" w:sz="4" w:space="0"/>
            </w:tcBorders>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4</w:t>
            </w:r>
          </w:p>
        </w:tc>
        <w:tc>
          <w:tcPr>
            <w:tcW w:w="38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宋体"/>
                <w:szCs w:val="21"/>
              </w:rPr>
            </w:pPr>
            <w:r>
              <w:rPr>
                <w:rFonts w:hint="eastAsia" w:ascii="宋体" w:hAnsi="宋体" w:cs="宋体"/>
                <w:szCs w:val="21"/>
              </w:rPr>
              <w:t>提交可供进一步工作的金矿产地1-2处，提交可供开发的矿产地1-2处。</w:t>
            </w:r>
          </w:p>
        </w:tc>
        <w:tc>
          <w:tcPr>
            <w:tcW w:w="2958" w:type="dxa"/>
            <w:tcBorders>
              <w:left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提交金矿产地1处，完成100%</w:t>
            </w:r>
          </w:p>
        </w:tc>
        <w:tc>
          <w:tcPr>
            <w:tcW w:w="914" w:type="dxa"/>
            <w:vMerge w:val="continue"/>
            <w:tcBorders>
              <w:left w:val="single" w:color="auto" w:sz="4" w:space="0"/>
              <w:right w:val="single" w:color="auto" w:sz="4" w:space="0"/>
            </w:tcBorders>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5</w:t>
            </w:r>
          </w:p>
        </w:tc>
        <w:tc>
          <w:tcPr>
            <w:tcW w:w="389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hAnsi="宋体" w:cs="宋体"/>
                <w:szCs w:val="21"/>
              </w:rPr>
            </w:pPr>
            <w:r>
              <w:rPr>
                <w:rFonts w:hint="eastAsia" w:ascii="宋体" w:hAnsi="宋体" w:cs="宋体"/>
                <w:szCs w:val="21"/>
              </w:rPr>
              <w:t>提交可供进一步工作的铅锌矿产地1-2处，提交可供进一步开发的矿产地1-2处。</w:t>
            </w:r>
          </w:p>
        </w:tc>
        <w:tc>
          <w:tcPr>
            <w:tcW w:w="2958" w:type="dxa"/>
            <w:tcBorders>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提交铅矿产地1处，完成100%</w:t>
            </w:r>
          </w:p>
        </w:tc>
        <w:tc>
          <w:tcPr>
            <w:tcW w:w="91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exact"/>
        </w:trPr>
        <w:tc>
          <w:tcPr>
            <w:tcW w:w="914" w:type="dxa"/>
            <w:vMerge w:val="restart"/>
            <w:tcBorders>
              <w:left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矿产资源开发利 用</w:t>
            </w: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6</w:t>
            </w:r>
          </w:p>
        </w:tc>
        <w:tc>
          <w:tcPr>
            <w:tcW w:w="3893"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rPr>
                <w:rFonts w:hAnsi="宋体" w:cs="宋体"/>
                <w:sz w:val="21"/>
              </w:rPr>
            </w:pPr>
            <w:r>
              <w:rPr>
                <w:rFonts w:hint="eastAsia" w:hAnsi="宋体" w:cs="宋体"/>
                <w:sz w:val="21"/>
              </w:rPr>
              <w:t>金金属200千克</w:t>
            </w:r>
          </w:p>
          <w:p>
            <w:pPr>
              <w:pStyle w:val="14"/>
              <w:spacing w:line="240" w:lineRule="atLeast"/>
              <w:ind w:firstLine="0" w:firstLineChars="0"/>
              <w:rPr>
                <w:rFonts w:hAnsi="宋体" w:cs="宋体"/>
                <w:sz w:val="21"/>
              </w:rPr>
            </w:pPr>
            <w:r>
              <w:rPr>
                <w:rFonts w:hint="eastAsia" w:hAnsi="宋体" w:cs="宋体"/>
                <w:sz w:val="21"/>
              </w:rPr>
              <w:t xml:space="preserve">铅矿石20万吨   </w:t>
            </w:r>
          </w:p>
          <w:p>
            <w:pPr>
              <w:pStyle w:val="14"/>
              <w:spacing w:line="240" w:lineRule="atLeast"/>
              <w:ind w:firstLine="0" w:firstLineChars="0"/>
              <w:rPr>
                <w:rFonts w:hAnsi="宋体" w:cs="宋体"/>
                <w:sz w:val="21"/>
              </w:rPr>
            </w:pPr>
            <w:r>
              <w:rPr>
                <w:rFonts w:hint="eastAsia" w:hAnsi="宋体" w:cs="宋体"/>
                <w:sz w:val="21"/>
              </w:rPr>
              <w:t>建筑用砂22万吨</w:t>
            </w:r>
          </w:p>
          <w:p>
            <w:pPr>
              <w:pStyle w:val="14"/>
              <w:spacing w:line="240" w:lineRule="atLeast"/>
              <w:ind w:firstLine="0" w:firstLineChars="0"/>
              <w:rPr>
                <w:rFonts w:hAnsi="宋体" w:cs="宋体"/>
                <w:sz w:val="21"/>
              </w:rPr>
            </w:pPr>
            <w:r>
              <w:rPr>
                <w:rFonts w:hint="eastAsia" w:hAnsi="宋体" w:cs="宋体"/>
                <w:sz w:val="21"/>
              </w:rPr>
              <w:t xml:space="preserve">砖瓦用粘土14万吨  </w:t>
            </w:r>
          </w:p>
          <w:p>
            <w:pPr>
              <w:pStyle w:val="14"/>
              <w:spacing w:line="240" w:lineRule="atLeast"/>
              <w:ind w:firstLine="0" w:firstLineChars="0"/>
              <w:rPr>
                <w:rFonts w:hAnsi="宋体" w:cs="宋体"/>
                <w:sz w:val="21"/>
              </w:rPr>
            </w:pPr>
            <w:r>
              <w:rPr>
                <w:rFonts w:hint="eastAsia" w:hAnsi="宋体" w:cs="宋体"/>
                <w:sz w:val="21"/>
              </w:rPr>
              <w:t xml:space="preserve">水泥配料用页岩8万吨 </w:t>
            </w:r>
          </w:p>
        </w:tc>
        <w:tc>
          <w:tcPr>
            <w:tcW w:w="2958"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rPr>
                <w:rFonts w:hAnsi="宋体" w:cs="宋体"/>
                <w:sz w:val="21"/>
              </w:rPr>
            </w:pPr>
            <w:r>
              <w:rPr>
                <w:rFonts w:hint="eastAsia" w:hAnsi="宋体" w:cs="宋体"/>
                <w:sz w:val="21"/>
              </w:rPr>
              <w:t>金金属200千克，完成100%</w:t>
            </w:r>
          </w:p>
          <w:p>
            <w:pPr>
              <w:pStyle w:val="14"/>
              <w:spacing w:line="240" w:lineRule="atLeast"/>
              <w:ind w:firstLine="0" w:firstLineChars="0"/>
              <w:rPr>
                <w:rFonts w:hAnsi="宋体" w:cs="宋体"/>
                <w:sz w:val="21"/>
              </w:rPr>
            </w:pPr>
            <w:r>
              <w:rPr>
                <w:rFonts w:hint="eastAsia" w:hAnsi="宋体" w:cs="宋体"/>
                <w:sz w:val="21"/>
              </w:rPr>
              <w:t xml:space="preserve">铅矿石0万吨，完成0%  </w:t>
            </w:r>
          </w:p>
          <w:p>
            <w:pPr>
              <w:pStyle w:val="14"/>
              <w:spacing w:line="240" w:lineRule="atLeast"/>
              <w:ind w:firstLine="0" w:firstLineChars="0"/>
              <w:rPr>
                <w:rFonts w:hAnsi="宋体" w:cs="宋体"/>
                <w:sz w:val="21"/>
              </w:rPr>
            </w:pPr>
            <w:r>
              <w:rPr>
                <w:rFonts w:hint="eastAsia" w:hAnsi="宋体" w:cs="宋体"/>
                <w:sz w:val="21"/>
              </w:rPr>
              <w:t>建筑用砂22万吨,完成100%</w:t>
            </w:r>
          </w:p>
          <w:p>
            <w:pPr>
              <w:pStyle w:val="14"/>
              <w:spacing w:line="240" w:lineRule="atLeast"/>
              <w:ind w:firstLine="0" w:firstLineChars="0"/>
              <w:rPr>
                <w:rFonts w:hAnsi="宋体" w:cs="宋体"/>
                <w:sz w:val="21"/>
              </w:rPr>
            </w:pPr>
            <w:r>
              <w:rPr>
                <w:rFonts w:hint="eastAsia" w:hAnsi="宋体" w:cs="宋体"/>
                <w:sz w:val="21"/>
              </w:rPr>
              <w:t>砖瓦用粘土7万吨 ,完成50%</w:t>
            </w:r>
          </w:p>
          <w:p>
            <w:pPr>
              <w:pStyle w:val="14"/>
              <w:spacing w:line="240" w:lineRule="atLeast"/>
              <w:ind w:firstLine="0" w:firstLineChars="0"/>
              <w:rPr>
                <w:rFonts w:hAnsi="宋体" w:cs="宋体"/>
              </w:rPr>
            </w:pPr>
            <w:r>
              <w:rPr>
                <w:rFonts w:hint="eastAsia" w:hAnsi="宋体" w:cs="宋体"/>
                <w:sz w:val="21"/>
              </w:rPr>
              <w:t>水泥配料用页岩8万吨 ,完成100%</w:t>
            </w:r>
          </w:p>
        </w:tc>
        <w:tc>
          <w:tcPr>
            <w:tcW w:w="914"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exact"/>
        </w:trPr>
        <w:tc>
          <w:tcPr>
            <w:tcW w:w="914" w:type="dxa"/>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7</w:t>
            </w:r>
          </w:p>
        </w:tc>
        <w:tc>
          <w:tcPr>
            <w:tcW w:w="3893"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rPr>
                <w:rFonts w:hAnsi="宋体" w:cs="宋体"/>
                <w:sz w:val="21"/>
              </w:rPr>
            </w:pPr>
            <w:r>
              <w:rPr>
                <w:rFonts w:hint="eastAsia" w:hAnsi="宋体" w:cs="宋体"/>
                <w:sz w:val="21"/>
              </w:rPr>
              <w:t>实现1-2处中型矿山</w:t>
            </w:r>
          </w:p>
        </w:tc>
        <w:tc>
          <w:tcPr>
            <w:tcW w:w="2958"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完成1处,达标</w:t>
            </w:r>
          </w:p>
        </w:tc>
        <w:tc>
          <w:tcPr>
            <w:tcW w:w="914"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trPr>
        <w:tc>
          <w:tcPr>
            <w:tcW w:w="91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8</w:t>
            </w:r>
          </w:p>
        </w:tc>
        <w:tc>
          <w:tcPr>
            <w:tcW w:w="3893" w:type="dxa"/>
            <w:tcBorders>
              <w:top w:val="single" w:color="auto" w:sz="4" w:space="0"/>
              <w:left w:val="single" w:color="auto" w:sz="4" w:space="0"/>
              <w:bottom w:val="single" w:color="auto" w:sz="4" w:space="0"/>
              <w:right w:val="single" w:color="auto" w:sz="4" w:space="0"/>
            </w:tcBorders>
            <w:vAlign w:val="center"/>
          </w:tcPr>
          <w:p>
            <w:pPr>
              <w:pStyle w:val="14"/>
              <w:spacing w:line="240" w:lineRule="atLeast"/>
              <w:ind w:firstLine="0" w:firstLineChars="0"/>
              <w:rPr>
                <w:rFonts w:hAnsi="宋体" w:cs="宋体"/>
                <w:sz w:val="21"/>
              </w:rPr>
            </w:pPr>
            <w:r>
              <w:rPr>
                <w:rFonts w:hint="eastAsia" w:hAnsi="宋体" w:cs="宋体"/>
                <w:sz w:val="21"/>
              </w:rPr>
              <w:t>矿山企业“三率”指标基本达到国家标准</w:t>
            </w:r>
          </w:p>
        </w:tc>
        <w:tc>
          <w:tcPr>
            <w:tcW w:w="2958"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达标</w:t>
            </w:r>
          </w:p>
        </w:tc>
        <w:tc>
          <w:tcPr>
            <w:tcW w:w="914"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914" w:type="dxa"/>
            <w:tcBorders>
              <w:top w:val="single" w:color="auto" w:sz="4" w:space="0"/>
              <w:left w:val="single" w:color="auto" w:sz="4" w:space="0"/>
              <w:bottom w:val="single" w:color="auto" w:sz="4" w:space="0"/>
              <w:right w:val="single" w:color="auto" w:sz="4" w:space="0"/>
            </w:tcBorders>
            <w:vAlign w:val="center"/>
          </w:tcPr>
          <w:p>
            <w:pPr>
              <w:tabs>
                <w:tab w:val="left" w:pos="3949"/>
              </w:tabs>
              <w:jc w:val="center"/>
              <w:rPr>
                <w:rFonts w:ascii="宋体" w:hAnsi="宋体" w:cs="宋体"/>
                <w:szCs w:val="21"/>
              </w:rPr>
            </w:pPr>
            <w:r>
              <w:rPr>
                <w:rFonts w:hint="eastAsia" w:ascii="宋体" w:hAnsi="宋体" w:cs="宋体"/>
                <w:szCs w:val="21"/>
              </w:rPr>
              <w:t>矿山环境保护与恢复治理</w:t>
            </w:r>
          </w:p>
        </w:tc>
        <w:tc>
          <w:tcPr>
            <w:tcW w:w="499"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9</w:t>
            </w:r>
          </w:p>
        </w:tc>
        <w:tc>
          <w:tcPr>
            <w:tcW w:w="3893" w:type="dxa"/>
            <w:tcBorders>
              <w:top w:val="single" w:color="auto" w:sz="4" w:space="0"/>
              <w:left w:val="single" w:color="auto" w:sz="4" w:space="0"/>
              <w:bottom w:val="single" w:color="auto" w:sz="4" w:space="0"/>
              <w:right w:val="single" w:color="auto" w:sz="4" w:space="0"/>
            </w:tcBorders>
            <w:vAlign w:val="center"/>
          </w:tcPr>
          <w:p>
            <w:pPr>
              <w:tabs>
                <w:tab w:val="left" w:pos="3949"/>
              </w:tabs>
              <w:rPr>
                <w:rFonts w:ascii="宋体" w:hAnsi="宋体" w:cs="宋体"/>
                <w:szCs w:val="21"/>
              </w:rPr>
            </w:pPr>
            <w:r>
              <w:rPr>
                <w:rFonts w:hint="eastAsia" w:ascii="宋体" w:hAnsi="宋体" w:cs="宋体"/>
                <w:szCs w:val="21"/>
              </w:rPr>
              <w:t>2020年矿山地质环境恢复治理率规划达到40%，预计到2020年，矿山治理面积达到4.60平方千米。</w:t>
            </w:r>
          </w:p>
          <w:p>
            <w:pPr>
              <w:pStyle w:val="14"/>
              <w:spacing w:line="240" w:lineRule="atLeast"/>
              <w:ind w:firstLine="0" w:firstLineChars="0"/>
              <w:jc w:val="center"/>
              <w:rPr>
                <w:rFonts w:hAnsi="宋体" w:cs="宋体"/>
                <w:sz w:val="21"/>
              </w:rPr>
            </w:pPr>
          </w:p>
        </w:tc>
        <w:tc>
          <w:tcPr>
            <w:tcW w:w="2958" w:type="dxa"/>
            <w:tcBorders>
              <w:top w:val="single" w:color="auto" w:sz="4" w:space="0"/>
              <w:left w:val="single" w:color="auto" w:sz="4" w:space="0"/>
              <w:bottom w:val="single" w:color="auto" w:sz="4" w:space="0"/>
              <w:right w:val="single" w:color="auto" w:sz="4" w:space="0"/>
            </w:tcBorders>
            <w:vAlign w:val="center"/>
          </w:tcPr>
          <w:p>
            <w:pPr>
              <w:tabs>
                <w:tab w:val="left" w:pos="3949"/>
              </w:tabs>
              <w:jc w:val="center"/>
              <w:rPr>
                <w:rFonts w:ascii="宋体" w:hAnsi="宋体" w:cs="宋体"/>
                <w:szCs w:val="21"/>
              </w:rPr>
            </w:pPr>
            <w:r>
              <w:rPr>
                <w:rFonts w:hint="eastAsia" w:ascii="宋体" w:hAnsi="宋体" w:cs="宋体"/>
                <w:szCs w:val="21"/>
              </w:rPr>
              <w:t>治理恢复1.614平方千米,完成35%</w:t>
            </w:r>
          </w:p>
        </w:tc>
        <w:tc>
          <w:tcPr>
            <w:tcW w:w="914" w:type="dxa"/>
            <w:tcBorders>
              <w:top w:val="single" w:color="auto" w:sz="4" w:space="0"/>
              <w:left w:val="single" w:color="auto" w:sz="4" w:space="0"/>
              <w:bottom w:val="single" w:color="auto" w:sz="4" w:space="0"/>
              <w:right w:val="single" w:color="auto" w:sz="4" w:space="0"/>
            </w:tcBorders>
            <w:vAlign w:val="center"/>
          </w:tcPr>
          <w:p>
            <w:pPr>
              <w:tabs>
                <w:tab w:val="left" w:pos="3949"/>
              </w:tabs>
              <w:spacing w:line="360" w:lineRule="auto"/>
              <w:jc w:val="center"/>
              <w:rPr>
                <w:rFonts w:ascii="宋体" w:hAnsi="宋体" w:cs="宋体"/>
                <w:szCs w:val="21"/>
              </w:rPr>
            </w:pPr>
            <w:r>
              <w:rPr>
                <w:rFonts w:hint="eastAsia" w:ascii="宋体" w:hAnsi="宋体" w:cs="宋体"/>
                <w:szCs w:val="21"/>
              </w:rPr>
              <w:t>约束性</w:t>
            </w:r>
          </w:p>
        </w:tc>
      </w:tr>
    </w:tbl>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22" w:name="_Toc27308"/>
      <w:r>
        <w:rPr>
          <w:rFonts w:hint="eastAsia" w:ascii="黑体" w:hAnsi="黑体" w:eastAsia="黑体" w:cs="宋体"/>
          <w:color w:val="auto"/>
          <w:sz w:val="32"/>
          <w:szCs w:val="32"/>
        </w:rPr>
        <w:t>二、规范矿产资源开发秩序、调整开发布局</w:t>
      </w:r>
      <w:bookmarkEnd w:id="22"/>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三轮规划期间，民丰县自然资源主管部门严格按照规划出让采矿权，出让了7个建筑用砂矿，出让收益547.12万元，实现了矿产资源的优质优用，促进了地方社会经济发展。</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上轮规划期间民丰县地质勘探程度虽有所提高，但除锑、铜取得突破性发展外，金、银、铅锌等金属矿产及非金属矿产没有大的进展。基础性、战略性地质工作还需要大幅度提高。重要矿产保有资源储量占预测资源量的比例偏小。对优势矿产、特色矿产的勘查力度、研究程度严重不足。矿产资源开发利用结构不尽合理，综合利用程度低，主要开发利用的是三类矿产，一二类矿产没有形成生产力。综合利用水平和深加工能力弱，矿山企业基本上处于销售矿石和原料或初级矿产品阶段，且是以三类矿产为主。</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民丰县境内山区是矿产资源潜力较大地区，但山区地形复杂、切割强烈、交通条件差，勘查开发难度较大。</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23" w:name="_Toc28632"/>
      <w:r>
        <w:rPr>
          <w:rFonts w:hint="eastAsia" w:ascii="黑体" w:hAnsi="黑体" w:eastAsia="黑体" w:cs="宋体"/>
          <w:color w:val="auto"/>
          <w:sz w:val="32"/>
          <w:szCs w:val="32"/>
        </w:rPr>
        <w:t>三、矿山生态环境保护与治理工作有序开展</w:t>
      </w:r>
      <w:bookmarkEnd w:id="23"/>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在建筑用砂矿、砖瓦用粘土矿开发利用中，矿山地质环境保护、矿山开采破坏的土地复垦历史遗留问题多，资金投入有限；矿山勘探开采过程中环保措施落实仍有不少未到位的地方，破坏矿山生态环境的现象时有发生。十三五期间，累计进行矿山恢复治理面积1.614平方千米（见专栏1-3）。</w:t>
      </w:r>
    </w:p>
    <w:tbl>
      <w:tblPr>
        <w:tblStyle w:val="27"/>
        <w:tblW w:w="8308" w:type="dxa"/>
        <w:jc w:val="center"/>
        <w:tblLayout w:type="fixed"/>
        <w:tblCellMar>
          <w:top w:w="15" w:type="dxa"/>
          <w:left w:w="15" w:type="dxa"/>
          <w:bottom w:w="15" w:type="dxa"/>
          <w:right w:w="15" w:type="dxa"/>
        </w:tblCellMar>
      </w:tblPr>
      <w:tblGrid>
        <w:gridCol w:w="765"/>
        <w:gridCol w:w="3519"/>
        <w:gridCol w:w="2291"/>
        <w:gridCol w:w="1733"/>
      </w:tblGrid>
      <w:tr>
        <w:tblPrEx>
          <w:tblCellMar>
            <w:top w:w="15" w:type="dxa"/>
            <w:left w:w="15" w:type="dxa"/>
            <w:bottom w:w="15" w:type="dxa"/>
            <w:right w:w="15" w:type="dxa"/>
          </w:tblCellMar>
        </w:tblPrEx>
        <w:trPr>
          <w:trHeight w:val="285" w:hRule="atLeast"/>
          <w:jc w:val="center"/>
        </w:trPr>
        <w:tc>
          <w:tcPr>
            <w:tcW w:w="8308" w:type="dxa"/>
            <w:gridSpan w:val="4"/>
            <w:vAlign w:val="center"/>
          </w:tcPr>
          <w:p>
            <w:pPr>
              <w:widowControl/>
              <w:textAlignment w:val="center"/>
              <w:rPr>
                <w:rFonts w:ascii="楷体" w:hAnsi="楷体" w:eastAsia="楷体" w:cs="宋体"/>
                <w:szCs w:val="21"/>
              </w:rPr>
            </w:pPr>
            <w:r>
              <w:rPr>
                <w:rFonts w:hint="eastAsia" w:ascii="楷体" w:hAnsi="楷体" w:eastAsia="楷体" w:cs="宋体"/>
                <w:b/>
                <w:bCs/>
                <w:kern w:val="0"/>
                <w:szCs w:val="21"/>
              </w:rPr>
              <w:t>专栏1-3             民丰县“十三五”期间矿山恢复治理情况一览表</w:t>
            </w:r>
          </w:p>
        </w:tc>
      </w:tr>
      <w:tr>
        <w:tblPrEx>
          <w:tblCellMar>
            <w:top w:w="15" w:type="dxa"/>
            <w:left w:w="15" w:type="dxa"/>
            <w:bottom w:w="15" w:type="dxa"/>
            <w:right w:w="15" w:type="dxa"/>
          </w:tblCellMar>
        </w:tblPrEx>
        <w:trPr>
          <w:trHeight w:val="578"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矿山名称</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矿区面积（平方千米）</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已恢复治理面积（平方千米）</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民丰县鑫国砂石料厂</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0.1334</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0.1</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民丰县显光砂石料厂</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0.065</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0.06</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民丰县永泰砂石料厂</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0.071</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0.06</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和田天瑞矿业投资有限公司民丰县二井沟砂金矿</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1.0156</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0.002</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民丰县丰茂矿业有限责任公司新疆民丰叶亦克八一八砂金矿</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1.7235</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0.04</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和田昆仑矿业有限责任公司民丰县乌鲁赛砂金矿</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0.9338</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0.032</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7</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民丰县若克雅乡顺隆砖厂</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0.032</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0.02</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青海华金投资发展有限公司民丰分公司新疆康赛音砂金矿</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1.9003</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1.3</w:t>
            </w:r>
          </w:p>
        </w:tc>
      </w:tr>
      <w:tr>
        <w:tblPrEx>
          <w:tblCellMar>
            <w:top w:w="15" w:type="dxa"/>
            <w:left w:w="15" w:type="dxa"/>
            <w:bottom w:w="15" w:type="dxa"/>
            <w:right w:w="15" w:type="dxa"/>
          </w:tblCellMar>
        </w:tblPrEx>
        <w:trPr>
          <w:trHeight w:val="285"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9</w:t>
            </w:r>
          </w:p>
        </w:tc>
        <w:tc>
          <w:tcPr>
            <w:tcW w:w="3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合  计</w:t>
            </w: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5.8746</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1.614</w:t>
            </w:r>
          </w:p>
        </w:tc>
      </w:tr>
    </w:tbl>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24" w:name="_Toc28877"/>
      <w:r>
        <w:rPr>
          <w:rFonts w:hint="eastAsia" w:ascii="黑体" w:hAnsi="黑体" w:eastAsia="黑体" w:cs="宋体"/>
          <w:color w:val="auto"/>
          <w:sz w:val="32"/>
          <w:szCs w:val="32"/>
        </w:rPr>
        <w:t>四、矿政管理工作进一步加强</w:t>
      </w:r>
      <w:bookmarkEnd w:id="24"/>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第三轮规划期间，民丰县自然资源主管部门按照三轮规划设置正常延续采矿权，对到期、资源量枯竭的矿山，按规定进行了闭坑注销，对不符合政策要求的矿山，按规定进行了整改、关停。截止2020年末总计有效采矿权28个，实现了矿产资源的优质优用，促进了地方社会经济发展。</w:t>
      </w:r>
    </w:p>
    <w:p>
      <w:pPr>
        <w:pStyle w:val="4"/>
        <w:adjustRightInd w:val="0"/>
        <w:snapToGrid w:val="0"/>
        <w:spacing w:before="240" w:after="0" w:line="360" w:lineRule="auto"/>
        <w:jc w:val="center"/>
        <w:rPr>
          <w:rFonts w:ascii="宋体" w:hAnsi="宋体" w:cs="宋体"/>
        </w:rPr>
      </w:pPr>
      <w:bookmarkStart w:id="25" w:name="_Toc13542"/>
      <w:bookmarkStart w:id="26" w:name="_Toc25391"/>
      <w:r>
        <w:rPr>
          <w:rFonts w:hint="eastAsia" w:ascii="宋体" w:hAnsi="宋体" w:cs="宋体"/>
        </w:rPr>
        <w:t>第四节  矿业发展现状与存在主要问题</w:t>
      </w:r>
      <w:bookmarkEnd w:id="25"/>
      <w:bookmarkEnd w:id="26"/>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27" w:name="_Toc30772"/>
      <w:r>
        <w:rPr>
          <w:rFonts w:hint="eastAsia" w:ascii="黑体" w:hAnsi="黑体" w:eastAsia="黑体" w:cs="宋体"/>
          <w:color w:val="auto"/>
          <w:sz w:val="32"/>
          <w:szCs w:val="32"/>
        </w:rPr>
        <w:t>一、基础地质调查与矿产资源勘查现状</w:t>
      </w:r>
      <w:bookmarkEnd w:id="27"/>
    </w:p>
    <w:p>
      <w:pPr>
        <w:widowControl/>
        <w:adjustRightInd w:val="0"/>
        <w:snapToGrid w:val="0"/>
        <w:spacing w:line="560" w:lineRule="exact"/>
        <w:ind w:firstLine="642" w:firstLineChars="200"/>
        <w:jc w:val="left"/>
        <w:outlineLvl w:val="3"/>
        <w:rPr>
          <w:rFonts w:ascii="楷体" w:hAnsi="楷体" w:eastAsia="楷体" w:cs="宋体"/>
          <w:b/>
          <w:bCs/>
          <w:sz w:val="32"/>
          <w:szCs w:val="32"/>
        </w:rPr>
      </w:pPr>
      <w:bookmarkStart w:id="28" w:name="_Toc20698"/>
      <w:r>
        <w:rPr>
          <w:rFonts w:hint="eastAsia" w:ascii="楷体" w:hAnsi="楷体" w:eastAsia="楷体" w:cs="宋体"/>
          <w:b/>
          <w:bCs/>
          <w:sz w:val="32"/>
          <w:szCs w:val="32"/>
        </w:rPr>
        <w:t>（一）基础地质调查现状</w:t>
      </w:r>
      <w:bookmarkEnd w:id="28"/>
    </w:p>
    <w:p>
      <w:pPr>
        <w:pStyle w:val="22"/>
        <w:ind w:firstLine="640"/>
        <w:rPr>
          <w:rFonts w:ascii="仿宋_GB2312" w:hAnsi="仿宋" w:cs="宋体"/>
          <w:sz w:val="32"/>
          <w:szCs w:val="32"/>
        </w:rPr>
      </w:pPr>
      <w:r>
        <w:rPr>
          <w:rFonts w:hint="eastAsia" w:ascii="仿宋_GB2312" w:hAnsi="仿宋" w:cs="宋体"/>
          <w:sz w:val="32"/>
          <w:szCs w:val="32"/>
        </w:rPr>
        <w:t>截止2020年，民丰县境内已完成1∶100万区域地质调查5.6万平方千米，覆盖全县范围；完成1∶50万区域化探9434平方千米，占全县面积的16.6%；完成1∶20万区域地质调查11625平方千米，1∶20万水系沉积物测量和1∶20万岩屑测量等化探扫面工作11625平方千米，占全县面积的20.5%；完成了1∶5万区域地质调查工作5879平方千米，占全县面积的10.36%。</w:t>
      </w:r>
    </w:p>
    <w:p>
      <w:pPr>
        <w:widowControl/>
        <w:adjustRightInd w:val="0"/>
        <w:snapToGrid w:val="0"/>
        <w:spacing w:line="560" w:lineRule="exact"/>
        <w:ind w:firstLine="642" w:firstLineChars="200"/>
        <w:jc w:val="left"/>
        <w:outlineLvl w:val="3"/>
        <w:rPr>
          <w:rFonts w:ascii="楷体" w:hAnsi="楷体" w:eastAsia="楷体" w:cs="宋体"/>
          <w:b/>
          <w:bCs/>
          <w:sz w:val="32"/>
          <w:szCs w:val="32"/>
        </w:rPr>
      </w:pPr>
      <w:bookmarkStart w:id="29" w:name="_Toc67682170"/>
      <w:bookmarkStart w:id="30" w:name="_Toc11068"/>
      <w:r>
        <w:rPr>
          <w:rFonts w:hint="eastAsia" w:ascii="楷体" w:hAnsi="楷体" w:eastAsia="楷体" w:cs="宋体"/>
          <w:b/>
          <w:bCs/>
          <w:sz w:val="32"/>
          <w:szCs w:val="32"/>
        </w:rPr>
        <w:t>（二）地下水资源勘查现状</w:t>
      </w:r>
      <w:bookmarkEnd w:id="29"/>
      <w:bookmarkEnd w:id="30"/>
    </w:p>
    <w:p>
      <w:pPr>
        <w:adjustRightInd w:val="0"/>
        <w:snapToGrid w:val="0"/>
        <w:spacing w:line="560" w:lineRule="exact"/>
        <w:ind w:firstLine="640" w:firstLineChars="200"/>
        <w:outlineLvl w:val="3"/>
        <w:rPr>
          <w:rFonts w:ascii="仿宋_GB2312" w:hAnsi="仿宋" w:eastAsia="仿宋_GB2312" w:cs="宋体"/>
          <w:b/>
          <w:bCs/>
          <w:sz w:val="32"/>
          <w:szCs w:val="32"/>
        </w:rPr>
      </w:pPr>
      <w:bookmarkStart w:id="31" w:name="_Toc11466"/>
      <w:r>
        <w:rPr>
          <w:rFonts w:hint="eastAsia" w:ascii="仿宋_GB2312" w:hAnsi="仿宋" w:eastAsia="仿宋_GB2312" w:cs="宋体"/>
          <w:sz w:val="32"/>
          <w:szCs w:val="32"/>
        </w:rPr>
        <w:t>完成了1∶150万环境水文地球化学综合调查，覆盖全县范围。</w:t>
      </w:r>
      <w:bookmarkEnd w:id="31"/>
    </w:p>
    <w:p>
      <w:pPr>
        <w:widowControl/>
        <w:adjustRightInd w:val="0"/>
        <w:snapToGrid w:val="0"/>
        <w:spacing w:line="560" w:lineRule="exact"/>
        <w:ind w:firstLine="642" w:firstLineChars="200"/>
        <w:jc w:val="left"/>
        <w:outlineLvl w:val="3"/>
        <w:rPr>
          <w:rFonts w:ascii="楷体" w:hAnsi="楷体" w:eastAsia="楷体" w:cs="宋体"/>
          <w:b/>
          <w:bCs/>
          <w:sz w:val="32"/>
          <w:szCs w:val="32"/>
        </w:rPr>
      </w:pPr>
      <w:bookmarkStart w:id="32" w:name="_Toc31985"/>
      <w:r>
        <w:rPr>
          <w:rFonts w:hint="eastAsia" w:ascii="楷体" w:hAnsi="楷体" w:eastAsia="楷体" w:cs="宋体"/>
          <w:b/>
          <w:bCs/>
          <w:sz w:val="32"/>
          <w:szCs w:val="32"/>
        </w:rPr>
        <w:t>（三）矿产资源勘查现状</w:t>
      </w:r>
      <w:bookmarkEnd w:id="32"/>
    </w:p>
    <w:p>
      <w:pPr>
        <w:adjustRightInd w:val="0"/>
        <w:snapToGrid w:val="0"/>
        <w:spacing w:line="560" w:lineRule="exact"/>
        <w:ind w:firstLine="640" w:firstLineChars="200"/>
        <w:outlineLvl w:val="3"/>
        <w:rPr>
          <w:rFonts w:ascii="仿宋_GB2312" w:hAnsi="仿宋" w:eastAsia="仿宋_GB2312" w:cs="宋体"/>
          <w:sz w:val="32"/>
          <w:szCs w:val="32"/>
        </w:rPr>
      </w:pPr>
      <w:bookmarkStart w:id="33" w:name="_Toc14649"/>
      <w:r>
        <w:rPr>
          <w:rFonts w:hint="eastAsia" w:ascii="仿宋_GB2312" w:hAnsi="仿宋" w:eastAsia="仿宋_GB2312" w:cs="宋体"/>
          <w:sz w:val="32"/>
          <w:szCs w:val="32"/>
        </w:rPr>
        <w:t>民丰县的矿产勘查工作中涉及一类矿种主要有铁、铜、铅、锌、金、银等。勘查程度包括预查、普查、详查、勘探等各阶段。截止2020年12月底，全县主要勘查矿种有5种，分别是锑、金、铜、硫、油页岩（专栏1-4）。</w:t>
      </w:r>
      <w:bookmarkEnd w:id="33"/>
      <w:r>
        <w:rPr>
          <w:rFonts w:hint="eastAsia" w:ascii="仿宋_GB2312" w:hAnsi="仿宋" w:eastAsia="仿宋_GB2312" w:cs="宋体"/>
          <w:sz w:val="32"/>
          <w:szCs w:val="32"/>
        </w:rPr>
        <w:t>现有有效探矿权49个，勘查程度从预查到勘探均有，其中预查程度14个，普查程度1个，详查程度3个，勘探程度31个。</w:t>
      </w:r>
    </w:p>
    <w:tbl>
      <w:tblPr>
        <w:tblStyle w:val="27"/>
        <w:tblW w:w="6425" w:type="dxa"/>
        <w:jc w:val="center"/>
        <w:tblLayout w:type="fixed"/>
        <w:tblCellMar>
          <w:top w:w="15" w:type="dxa"/>
          <w:left w:w="15" w:type="dxa"/>
          <w:bottom w:w="15" w:type="dxa"/>
          <w:right w:w="15" w:type="dxa"/>
        </w:tblCellMar>
      </w:tblPr>
      <w:tblGrid>
        <w:gridCol w:w="1685"/>
        <w:gridCol w:w="2190"/>
        <w:gridCol w:w="2550"/>
      </w:tblGrid>
      <w:tr>
        <w:tblPrEx>
          <w:tblCellMar>
            <w:top w:w="15" w:type="dxa"/>
            <w:left w:w="15" w:type="dxa"/>
            <w:bottom w:w="15" w:type="dxa"/>
            <w:right w:w="15" w:type="dxa"/>
          </w:tblCellMar>
        </w:tblPrEx>
        <w:trPr>
          <w:trHeight w:val="285" w:hRule="atLeast"/>
          <w:jc w:val="center"/>
        </w:trPr>
        <w:tc>
          <w:tcPr>
            <w:tcW w:w="6425" w:type="dxa"/>
            <w:gridSpan w:val="3"/>
            <w:vAlign w:val="bottom"/>
          </w:tcPr>
          <w:p>
            <w:pPr>
              <w:widowControl/>
              <w:jc w:val="center"/>
              <w:textAlignment w:val="center"/>
              <w:rPr>
                <w:rFonts w:ascii="楷体" w:hAnsi="楷体" w:eastAsia="楷体" w:cs="宋体"/>
                <w:b/>
                <w:kern w:val="0"/>
                <w:szCs w:val="21"/>
              </w:rPr>
            </w:pPr>
            <w:r>
              <w:rPr>
                <w:rFonts w:hint="eastAsia" w:ascii="楷体" w:hAnsi="楷体" w:eastAsia="楷体" w:cs="宋体"/>
                <w:b/>
                <w:kern w:val="0"/>
                <w:szCs w:val="21"/>
              </w:rPr>
              <w:t>专栏1-4    民丰县已设勘查区块勘查矿种一览表</w:t>
            </w:r>
          </w:p>
        </w:tc>
      </w:tr>
      <w:tr>
        <w:tblPrEx>
          <w:tblCellMar>
            <w:top w:w="15" w:type="dxa"/>
            <w:left w:w="15" w:type="dxa"/>
            <w:bottom w:w="15" w:type="dxa"/>
            <w:right w:w="15" w:type="dxa"/>
          </w:tblCellMar>
        </w:tblPrEx>
        <w:trPr>
          <w:trHeight w:val="285" w:hRule="atLeast"/>
          <w:jc w:val="center"/>
        </w:trPr>
        <w:tc>
          <w:tcPr>
            <w:tcW w:w="16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序号</w:t>
            </w:r>
          </w:p>
        </w:tc>
        <w:tc>
          <w:tcPr>
            <w:tcW w:w="219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矿种</w:t>
            </w:r>
          </w:p>
        </w:tc>
        <w:tc>
          <w:tcPr>
            <w:tcW w:w="255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数量（个）</w:t>
            </w:r>
          </w:p>
        </w:tc>
      </w:tr>
      <w:tr>
        <w:tblPrEx>
          <w:tblCellMar>
            <w:top w:w="15" w:type="dxa"/>
            <w:left w:w="15" w:type="dxa"/>
            <w:bottom w:w="15" w:type="dxa"/>
            <w:right w:w="15" w:type="dxa"/>
          </w:tblCellMar>
        </w:tblPrEx>
        <w:trPr>
          <w:trHeight w:val="285" w:hRule="atLeast"/>
          <w:jc w:val="center"/>
        </w:trPr>
        <w:tc>
          <w:tcPr>
            <w:tcW w:w="16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219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铜矿</w:t>
            </w:r>
          </w:p>
        </w:tc>
        <w:tc>
          <w:tcPr>
            <w:tcW w:w="255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26</w:t>
            </w:r>
          </w:p>
        </w:tc>
      </w:tr>
      <w:tr>
        <w:tblPrEx>
          <w:tblCellMar>
            <w:top w:w="15" w:type="dxa"/>
            <w:left w:w="15" w:type="dxa"/>
            <w:bottom w:w="15" w:type="dxa"/>
            <w:right w:w="15" w:type="dxa"/>
          </w:tblCellMar>
        </w:tblPrEx>
        <w:trPr>
          <w:trHeight w:val="90" w:hRule="atLeast"/>
          <w:jc w:val="center"/>
        </w:trPr>
        <w:tc>
          <w:tcPr>
            <w:tcW w:w="16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2</w:t>
            </w:r>
          </w:p>
        </w:tc>
        <w:tc>
          <w:tcPr>
            <w:tcW w:w="219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金矿</w:t>
            </w:r>
          </w:p>
        </w:tc>
        <w:tc>
          <w:tcPr>
            <w:tcW w:w="255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10</w:t>
            </w:r>
          </w:p>
        </w:tc>
      </w:tr>
      <w:tr>
        <w:tblPrEx>
          <w:tblCellMar>
            <w:top w:w="15" w:type="dxa"/>
            <w:left w:w="15" w:type="dxa"/>
            <w:bottom w:w="15" w:type="dxa"/>
            <w:right w:w="15" w:type="dxa"/>
          </w:tblCellMar>
        </w:tblPrEx>
        <w:trPr>
          <w:trHeight w:val="285" w:hRule="atLeast"/>
          <w:jc w:val="center"/>
        </w:trPr>
        <w:tc>
          <w:tcPr>
            <w:tcW w:w="16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3</w:t>
            </w:r>
          </w:p>
        </w:tc>
        <w:tc>
          <w:tcPr>
            <w:tcW w:w="219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硫矿</w:t>
            </w:r>
          </w:p>
        </w:tc>
        <w:tc>
          <w:tcPr>
            <w:tcW w:w="255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jc w:val="center"/>
        </w:trPr>
        <w:tc>
          <w:tcPr>
            <w:tcW w:w="16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4</w:t>
            </w:r>
          </w:p>
        </w:tc>
        <w:tc>
          <w:tcPr>
            <w:tcW w:w="219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锑矿</w:t>
            </w:r>
          </w:p>
        </w:tc>
        <w:tc>
          <w:tcPr>
            <w:tcW w:w="255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11</w:t>
            </w:r>
          </w:p>
        </w:tc>
      </w:tr>
      <w:tr>
        <w:tblPrEx>
          <w:tblCellMar>
            <w:top w:w="15" w:type="dxa"/>
            <w:left w:w="15" w:type="dxa"/>
            <w:bottom w:w="15" w:type="dxa"/>
            <w:right w:w="15" w:type="dxa"/>
          </w:tblCellMar>
        </w:tblPrEx>
        <w:trPr>
          <w:trHeight w:val="285" w:hRule="atLeast"/>
          <w:jc w:val="center"/>
        </w:trPr>
        <w:tc>
          <w:tcPr>
            <w:tcW w:w="16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219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油页岩</w:t>
            </w:r>
          </w:p>
        </w:tc>
        <w:tc>
          <w:tcPr>
            <w:tcW w:w="255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jc w:val="center"/>
        </w:trPr>
        <w:tc>
          <w:tcPr>
            <w:tcW w:w="16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6</w:t>
            </w:r>
          </w:p>
        </w:tc>
        <w:tc>
          <w:tcPr>
            <w:tcW w:w="219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合计</w:t>
            </w:r>
          </w:p>
        </w:tc>
        <w:tc>
          <w:tcPr>
            <w:tcW w:w="255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kern w:val="0"/>
                <w:szCs w:val="21"/>
              </w:rPr>
            </w:pPr>
            <w:r>
              <w:rPr>
                <w:rFonts w:hint="eastAsia" w:ascii="宋体" w:hAnsi="宋体" w:cs="宋体"/>
                <w:kern w:val="0"/>
                <w:szCs w:val="21"/>
              </w:rPr>
              <w:t>49</w:t>
            </w:r>
          </w:p>
        </w:tc>
      </w:tr>
    </w:tbl>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34" w:name="_Toc15514"/>
      <w:r>
        <w:rPr>
          <w:rFonts w:hint="eastAsia" w:ascii="黑体" w:hAnsi="黑体" w:eastAsia="黑体" w:cs="宋体"/>
          <w:color w:val="auto"/>
          <w:sz w:val="32"/>
          <w:szCs w:val="32"/>
        </w:rPr>
        <w:t>二、矿产资源开发现状</w:t>
      </w:r>
      <w:bookmarkEnd w:id="34"/>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截止到2020年底，全县开发利用的固体矿产有4种，矿山总数为</w:t>
      </w:r>
      <w:bookmarkStart w:id="35" w:name="OLE_LINK1"/>
      <w:bookmarkStart w:id="36" w:name="OLE_LINK2"/>
      <w:r>
        <w:rPr>
          <w:rFonts w:hint="eastAsia" w:ascii="仿宋_GB2312" w:hAnsi="仿宋" w:eastAsia="仿宋_GB2312" w:cs="宋体"/>
          <w:sz w:val="32"/>
          <w:szCs w:val="32"/>
        </w:rPr>
        <w:t>2</w:t>
      </w:r>
      <w:bookmarkEnd w:id="35"/>
      <w:bookmarkEnd w:id="36"/>
      <w:r>
        <w:rPr>
          <w:rFonts w:hint="eastAsia" w:ascii="仿宋_GB2312" w:hAnsi="仿宋" w:eastAsia="仿宋_GB2312" w:cs="宋体"/>
          <w:sz w:val="32"/>
          <w:szCs w:val="32"/>
        </w:rPr>
        <w:t>8家（专栏1-5），地理分布较为分散，开采规模均为小型；矿业总体从业人数总计231人，经济类型为私营企业。</w:t>
      </w:r>
    </w:p>
    <w:p>
      <w:pPr>
        <w:ind w:firstLine="642" w:firstLineChars="200"/>
        <w:rPr>
          <w:rFonts w:ascii="仿宋_GB2312" w:hAnsi="楷体" w:eastAsia="仿宋_GB2312" w:cs="宋体"/>
          <w:b/>
          <w:sz w:val="32"/>
          <w:szCs w:val="32"/>
        </w:rPr>
      </w:pPr>
      <w:r>
        <w:rPr>
          <w:rFonts w:hint="eastAsia" w:ascii="仿宋_GB2312" w:hAnsi="楷体" w:eastAsia="仿宋_GB2312" w:cs="宋体"/>
          <w:b/>
          <w:sz w:val="32"/>
          <w:szCs w:val="32"/>
        </w:rPr>
        <w:t>1.金属矿产</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锑铅矿：登记发证小型矿山1家，开发规模8万吨矿石/年，小型，为停产状态。</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金矿：登记发证小型矿山1家，小型，开发规模矿石量5万吨/年，为停产状态。</w:t>
      </w:r>
    </w:p>
    <w:p>
      <w:pPr>
        <w:ind w:firstLine="642" w:firstLineChars="200"/>
        <w:rPr>
          <w:rFonts w:ascii="仿宋_GB2312" w:hAnsi="楷体" w:eastAsia="仿宋_GB2312" w:cs="宋体"/>
          <w:b/>
          <w:sz w:val="32"/>
          <w:szCs w:val="32"/>
        </w:rPr>
      </w:pPr>
      <w:r>
        <w:rPr>
          <w:rFonts w:hint="eastAsia" w:ascii="仿宋_GB2312" w:hAnsi="楷体" w:eastAsia="仿宋_GB2312" w:cs="宋体"/>
          <w:b/>
          <w:sz w:val="32"/>
          <w:szCs w:val="32"/>
        </w:rPr>
        <w:t>２．非金属矿产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建筑用砂：小型生产矿山25家，从业人数113人。其中生产矿山13家，在建矿山2家，停产矿山10家。</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玉石矿1家，开发规模20万吨矿石/年，中型，停产。</w:t>
      </w:r>
    </w:p>
    <w:tbl>
      <w:tblPr>
        <w:tblStyle w:val="27"/>
        <w:tblW w:w="9162" w:type="dxa"/>
        <w:tblInd w:w="-15" w:type="dxa"/>
        <w:tblLayout w:type="fixed"/>
        <w:tblCellMar>
          <w:top w:w="0" w:type="dxa"/>
          <w:left w:w="0" w:type="dxa"/>
          <w:bottom w:w="0" w:type="dxa"/>
          <w:right w:w="0" w:type="dxa"/>
        </w:tblCellMar>
      </w:tblPr>
      <w:tblGrid>
        <w:gridCol w:w="590"/>
        <w:gridCol w:w="3611"/>
        <w:gridCol w:w="2635"/>
        <w:gridCol w:w="1247"/>
        <w:gridCol w:w="1079"/>
      </w:tblGrid>
      <w:tr>
        <w:tblPrEx>
          <w:tblCellMar>
            <w:top w:w="0" w:type="dxa"/>
            <w:left w:w="0" w:type="dxa"/>
            <w:bottom w:w="0" w:type="dxa"/>
            <w:right w:w="0" w:type="dxa"/>
          </w:tblCellMar>
        </w:tblPrEx>
        <w:trPr>
          <w:trHeight w:val="277" w:hRule="atLeast"/>
        </w:trPr>
        <w:tc>
          <w:tcPr>
            <w:tcW w:w="9162" w:type="dxa"/>
            <w:gridSpan w:val="5"/>
            <w:tcBorders>
              <w:top w:val="nil"/>
              <w:left w:val="nil"/>
              <w:bottom w:val="single" w:color="auto" w:sz="4" w:space="0"/>
              <w:right w:val="nil"/>
            </w:tcBorders>
            <w:tcMar>
              <w:top w:w="15" w:type="dxa"/>
              <w:left w:w="15" w:type="dxa"/>
              <w:right w:w="15" w:type="dxa"/>
            </w:tcMar>
            <w:vAlign w:val="center"/>
          </w:tcPr>
          <w:p>
            <w:pPr>
              <w:widowControl/>
              <w:spacing w:line="320" w:lineRule="exact"/>
              <w:textAlignment w:val="center"/>
              <w:rPr>
                <w:rFonts w:ascii="楷体" w:hAnsi="楷体" w:eastAsia="楷体" w:cs="宋体"/>
                <w:b/>
                <w:szCs w:val="21"/>
              </w:rPr>
            </w:pPr>
            <w:r>
              <w:rPr>
                <w:rFonts w:hint="eastAsia" w:ascii="楷体" w:hAnsi="楷体" w:eastAsia="楷体" w:cs="宋体"/>
                <w:b/>
                <w:kern w:val="0"/>
                <w:szCs w:val="21"/>
              </w:rPr>
              <w:t>专栏1-5                   民丰县采矿权开发利用现状表</w:t>
            </w:r>
          </w:p>
        </w:tc>
      </w:tr>
      <w:tr>
        <w:tblPrEx>
          <w:tblCellMar>
            <w:top w:w="0" w:type="dxa"/>
            <w:left w:w="0" w:type="dxa"/>
            <w:bottom w:w="0" w:type="dxa"/>
            <w:right w:w="0" w:type="dxa"/>
          </w:tblCellMar>
        </w:tblPrEx>
        <w:trPr>
          <w:trHeight w:val="385"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序号</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矿山名称</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采矿许可证号</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矿区面积km²</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生产状态</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尼雅乡3号建筑用砂矿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C6532272017107130145473</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0.236</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尼雅乡2号建筑用砂矿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C6532272016117130143743</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0.231</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3</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安迪尔河建筑用砂矿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C6532272016117130143742</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0.236</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4</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民丰县若克雅干渠以北建筑用砂矿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C6532272017117130146599</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0.3333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5</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民丰县尼雅乡干渠以西1号建筑用砂矿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C6532272017117130146600</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0.3333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6</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民丰县牙通古斯河以东建筑用砂矿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C6532272017117130146598</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0.3333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生产</w:t>
            </w:r>
          </w:p>
        </w:tc>
      </w:tr>
      <w:tr>
        <w:tblPrEx>
          <w:tblCellMar>
            <w:top w:w="0" w:type="dxa"/>
            <w:left w:w="0" w:type="dxa"/>
            <w:bottom w:w="0" w:type="dxa"/>
            <w:right w:w="0" w:type="dxa"/>
          </w:tblCellMar>
        </w:tblPrEx>
        <w:trPr>
          <w:trHeight w:val="56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7</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民丰县富鑫砂石料有限责任公司民丰县亚克托格拉克以南建筑用砂矿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C6532272018117130147714</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0.2234</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8</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民丰县城郊集中开采区尼雅乡1号建筑用砂矿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C6532272018027130146601</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0.236</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9</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民丰县城郊集中开采区2号建筑用砂矿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C65322720191067130148425</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10</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民丰县城郊集中开采区3号建筑用砂矿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C65322720191067130148426</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11</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民丰县城郊集中开采区4号建筑用砂矿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C65322720191067130148433</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在建</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12</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民丰县城郊集中开采区5号建筑用砂矿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C65322720191067130148427</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13</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民丰县城郊集中开采区6号建筑用砂矿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C65322720191067130148432</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14</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民丰县萨勒吾则克乡集中开采区1号建筑用砂矿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C6532272018017130146602</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0.0667</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15</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民丰县萨勒吾则克乡集中开采区2号建筑用砂矿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C65322720191067130148428</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16</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民丰县萨勒吾则克乡集中开采区3号建筑用砂矿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C65322720191067130148429</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17</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民丰县萨勒吾则克乡集中开采区4号建筑用砂矿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C65322720191067130148431</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在建</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18</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民丰县叶亦克乡2号建筑用砂矿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C65322720191067130148430</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0.182</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19</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民丰县尼雅乡干渠以北建筑用砂矿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C65322720191057130148301</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0.0667</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20</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新疆民丰县牙通古斯河集中开采区1号建筑用砂矿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C6532272020047130149815</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21</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新疆民丰县和若铁路S2标段砂石料矿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C6532272020047130149816</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0.196</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22</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新疆民丰县和若铁路DK554-DK561戈壁料取料场</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C6532272020047130149793</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0.2</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23</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新疆民丰县尼雅乡托皮村南建筑用砂矿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C6532272020047130149794</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0.27</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24</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新疆民丰县盼水河锑铅矿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C6500002013053210129869</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0.9168</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25</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新疆民丰县库克恰普玉石矿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C6532002018097130146735</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0.9685</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26</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民丰县帕西木金矿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C6500002011124120126046</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0.175</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停产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27</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新疆民丰县尼雅水利枢纽工程C2料场C区建筑用砂矿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C6532272021027100151438</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0.333</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生产</w:t>
            </w:r>
          </w:p>
        </w:tc>
      </w:tr>
      <w:tr>
        <w:tblPrEx>
          <w:tblCellMar>
            <w:top w:w="0" w:type="dxa"/>
            <w:left w:w="0" w:type="dxa"/>
            <w:bottom w:w="0" w:type="dxa"/>
            <w:right w:w="0" w:type="dxa"/>
          </w:tblCellMar>
        </w:tblPrEx>
        <w:trPr>
          <w:trHeight w:val="300" w:hRule="atLeast"/>
        </w:trPr>
        <w:tc>
          <w:tcPr>
            <w:tcW w:w="5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28</w:t>
            </w:r>
          </w:p>
        </w:tc>
        <w:tc>
          <w:tcPr>
            <w:tcW w:w="36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bCs/>
                <w:kern w:val="0"/>
                <w:szCs w:val="21"/>
              </w:rPr>
              <w:t>新疆民丰县尼雅水利枢纽工程C2料场E区建筑用砂矿</w:t>
            </w:r>
          </w:p>
        </w:tc>
        <w:tc>
          <w:tcPr>
            <w:tcW w:w="2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C6532272021027100151437</w:t>
            </w:r>
          </w:p>
        </w:tc>
        <w:tc>
          <w:tcPr>
            <w:tcW w:w="12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bCs/>
                <w:kern w:val="0"/>
                <w:szCs w:val="21"/>
              </w:rPr>
              <w:t>0.495</w:t>
            </w:r>
          </w:p>
        </w:tc>
        <w:tc>
          <w:tcPr>
            <w:tcW w:w="10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生产</w:t>
            </w:r>
          </w:p>
        </w:tc>
      </w:tr>
    </w:tbl>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37" w:name="_Toc3706"/>
      <w:r>
        <w:rPr>
          <w:rFonts w:hint="eastAsia" w:ascii="黑体" w:hAnsi="黑体" w:eastAsia="黑体" w:cs="宋体"/>
          <w:color w:val="auto"/>
          <w:sz w:val="32"/>
          <w:szCs w:val="32"/>
        </w:rPr>
        <w:t>三、矿区生态保护修复现状</w:t>
      </w:r>
      <w:bookmarkEnd w:id="37"/>
    </w:p>
    <w:p>
      <w:pPr>
        <w:adjustRightInd w:val="0"/>
        <w:snapToGrid w:val="0"/>
        <w:spacing w:line="560" w:lineRule="exact"/>
        <w:ind w:firstLine="642" w:firstLineChars="200"/>
        <w:outlineLvl w:val="3"/>
        <w:rPr>
          <w:rFonts w:ascii="楷体" w:hAnsi="楷体" w:eastAsia="楷体" w:cs="宋体"/>
          <w:b/>
          <w:bCs/>
          <w:sz w:val="32"/>
          <w:szCs w:val="32"/>
        </w:rPr>
      </w:pPr>
      <w:bookmarkStart w:id="38" w:name="_Toc14016"/>
      <w:r>
        <w:rPr>
          <w:rFonts w:hint="eastAsia" w:ascii="楷体" w:hAnsi="楷体" w:eastAsia="楷体" w:cs="宋体"/>
          <w:b/>
          <w:bCs/>
          <w:sz w:val="32"/>
          <w:szCs w:val="32"/>
        </w:rPr>
        <w:t>（一）地质生态环境现状</w:t>
      </w:r>
      <w:bookmarkEnd w:id="38"/>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有色、黑色金属矿分布在昆仑山中，煤炭、非金属等矿（区）山主要分布于山前区，开发规模小，对环境造成点状破坏；建筑用砂矿等主要分布于山前平原和荒漠区，矿山开采对地貌形态有轻微改变；总体看来，民丰县矿产开发活动规模不大，矿业开发活动对生态环境造成的破坏程度较小。</w:t>
      </w:r>
    </w:p>
    <w:p>
      <w:pPr>
        <w:adjustRightInd w:val="0"/>
        <w:snapToGrid w:val="0"/>
        <w:spacing w:line="560" w:lineRule="exact"/>
        <w:ind w:firstLine="642" w:firstLineChars="200"/>
        <w:outlineLvl w:val="3"/>
        <w:rPr>
          <w:rFonts w:ascii="楷体" w:hAnsi="楷体" w:eastAsia="楷体" w:cs="宋体"/>
          <w:b/>
          <w:bCs/>
          <w:sz w:val="32"/>
          <w:szCs w:val="32"/>
        </w:rPr>
      </w:pPr>
      <w:bookmarkStart w:id="39" w:name="_Toc3696"/>
      <w:r>
        <w:rPr>
          <w:rFonts w:hint="eastAsia" w:ascii="楷体" w:hAnsi="楷体" w:eastAsia="楷体" w:cs="宋体"/>
          <w:b/>
          <w:bCs/>
          <w:sz w:val="32"/>
          <w:szCs w:val="32"/>
        </w:rPr>
        <w:t>（二）矿山地质环境保护与地质灾害治理现状</w:t>
      </w:r>
      <w:bookmarkEnd w:id="39"/>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县域内采矿权因开采利用造成的破坏范围2.07平方千米，主要开采矿山为建筑用砂矿、砂金矿，截止2020年底，已完成了自治区生态红线范围内矿业权清理及矿山生态环境恢复治理、废弃矿山地质环境恢复治理工作（见专栏1-3），累计恢复治理矿山地质环境1.61平方千米，尚有0.46平方千米未完成。完成了全县地质灾害详细调查，建立了地质灾害空间数据库与监测预警系统。</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40" w:name="_Toc22345"/>
      <w:r>
        <w:rPr>
          <w:rFonts w:hint="eastAsia" w:ascii="黑体" w:hAnsi="黑体" w:eastAsia="黑体" w:cs="宋体"/>
          <w:color w:val="auto"/>
          <w:sz w:val="32"/>
          <w:szCs w:val="32"/>
        </w:rPr>
        <w:t>四、矿业经济发展现状</w:t>
      </w:r>
      <w:bookmarkEnd w:id="40"/>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矿业经济不发达，2020年矿业经济产值为3127.26万元，相较2019年减少59.84%。主要开采矿山为建筑用砂25个，金矿、锑铅矿、玉石矿各1个，矿业经济主要依托建筑施工业带动，产值有限。贵金属矿、有色金属矿山均处于停产状态，对县域矿业经济贡献有限。</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41" w:name="_Toc2221"/>
      <w:r>
        <w:rPr>
          <w:rFonts w:hint="eastAsia" w:ascii="黑体" w:hAnsi="黑体" w:eastAsia="黑体" w:cs="宋体"/>
          <w:color w:val="auto"/>
          <w:sz w:val="32"/>
          <w:szCs w:val="32"/>
        </w:rPr>
        <w:t>五、存在主要问题</w:t>
      </w:r>
      <w:bookmarkEnd w:id="41"/>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1、矿产勘查及资源开发利用程度低，尤其是开发利用前景好的部分矿产，勘查程度有待提高。</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矿业经济发展较为粗放、集约化程度低，产业结构、企业结构和产品结构有待加快调整、优化提升。一是没有大中型矿山，可供开发利用的矿山较少，矿山开采企业、涉矿加工企业普遍规模较小，规模大、技术高的龙头企业较少。二是可开发矿种单一，没有形成全面开发的格局。三是矿点布局分散，综合开发能力不高。</w:t>
      </w:r>
    </w:p>
    <w:p>
      <w:pPr>
        <w:pStyle w:val="4"/>
        <w:adjustRightInd w:val="0"/>
        <w:snapToGrid w:val="0"/>
        <w:spacing w:before="240" w:after="0" w:line="360" w:lineRule="auto"/>
        <w:jc w:val="center"/>
        <w:rPr>
          <w:rFonts w:ascii="宋体" w:hAnsi="宋体" w:cs="宋体"/>
        </w:rPr>
      </w:pPr>
      <w:bookmarkStart w:id="42" w:name="_Toc26286"/>
      <w:bookmarkStart w:id="43" w:name="_Toc7590"/>
      <w:r>
        <w:rPr>
          <w:rFonts w:hint="eastAsia" w:ascii="宋体" w:hAnsi="宋体" w:cs="宋体"/>
        </w:rPr>
        <w:t>第五节  面临形势和发展要求</w:t>
      </w:r>
      <w:bookmarkEnd w:id="42"/>
      <w:bookmarkEnd w:id="43"/>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44" w:name="_Toc15487"/>
      <w:r>
        <w:rPr>
          <w:rFonts w:hint="eastAsia" w:ascii="黑体" w:hAnsi="黑体" w:eastAsia="黑体" w:cs="宋体"/>
          <w:color w:val="auto"/>
          <w:sz w:val="32"/>
          <w:szCs w:val="32"/>
        </w:rPr>
        <w:t>一、面临形势</w:t>
      </w:r>
      <w:bookmarkEnd w:id="44"/>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当前我国能源与主要矿产资源供需形势正在发生重大结构性转变：需求增长由高速向中低速转变、供需矛盾减缓、供需结构发生深刻变化、资源环境已到极限，经济发展正在从资源不足为主要问题向冶炼加工产能过剩转变。未来5-10年，我国将面临迎接资源需求峰值与产业转型双重压力。</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45" w:name="_Toc74051321"/>
      <w:bookmarkStart w:id="46" w:name="_Toc31517"/>
      <w:r>
        <w:rPr>
          <w:rFonts w:hint="eastAsia" w:ascii="黑体" w:hAnsi="黑体" w:eastAsia="黑体" w:cs="宋体"/>
          <w:color w:val="auto"/>
          <w:sz w:val="32"/>
          <w:szCs w:val="32"/>
        </w:rPr>
        <w:t>二、发展要求</w:t>
      </w:r>
      <w:bookmarkEnd w:id="45"/>
      <w:bookmarkEnd w:id="46"/>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全</w:t>
      </w:r>
      <w:r>
        <w:rPr>
          <w:rFonts w:hint="eastAsia" w:ascii="仿宋_GB2312" w:hAnsi="仿宋" w:eastAsia="仿宋_GB2312" w:cs="宋体"/>
          <w:sz w:val="32"/>
          <w:szCs w:val="32"/>
          <w:shd w:val="clear" w:color="auto" w:fill="FFFFFF"/>
        </w:rPr>
        <w:t>面建成社会主义现代化强国</w:t>
      </w:r>
      <w:r>
        <w:rPr>
          <w:rFonts w:hint="eastAsia" w:ascii="仿宋_GB2312" w:hAnsi="仿宋" w:eastAsia="仿宋_GB2312" w:cs="宋体"/>
          <w:sz w:val="32"/>
          <w:szCs w:val="32"/>
        </w:rPr>
        <w:t>，对提升民丰县矿产资源的保障能力及经济发展，提出了新的更高的要求。今后5年，是国家全面实施全面建设现代化强国的关键时期，是提升民丰县矿产资源开发的重要时期。民丰县矿产种类较丰富，资源潜力较大，加快矿产资源的勘查、开发和利用，是促进民丰县社会经济发展的有利途径之一。</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受近几年宏观经济调控影响，矿业经济进入阵痛期，主要表现在：一、主要矿产品价格大幅下降，企业利润下滑明显，普遍亏损，长期停产现象比较普遍。二、随着“去产能、去库存”政策的推进，同时，民丰县当地新开工建设工程较少，国家重大建设项目工程已接近尾声，市场对三类矿产的需求大幅降低，矿石产量进一步下跌。民丰县经济的发展要求矿产品为国民经济发展提供保障，从目前民丰县已发现的矿产品种类来看，优势矿种为锑，远景优势矿种为铅锌、锂等，但目前矿产资源只能提供建筑用砂保障，其他能源、工业需求，暂时不能提供保障，所以对矿业的需求是很迫切的，需要矿业提供有色金属矿、能源矿产这些县域内原有资源保障，为县域工业发展提供助力。</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矿产资源开发在满足自身建设需要的同时，也要支持全疆经济发展需求。因此，县域经济对矿业发展的要求是迫切的，加快矿业结构调整升级，将优势矿产锑矿做大做强，积极发展特色矿产的开发利用及深加工，促进矿业经济健康有序、平稳持久的快速发展。</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 民丰县基础性地质调查工作程度偏低是造成矿产资源家底不清的主要原因。需要加大基础地质工作力度，系统开展区域地质、地球物理、地球化学和遥感地质等调查，提高基础地质调查工作程度，尽快查明民丰县境内可能存在的矿产资源家底，为经济发展提供基础资源保障。</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矿产勘查开发与环境保护要并重。要加强矿山地质环境的保护，积极恢复和治理历史遗留的矿山地质环境；对矿产勘查要坚持绿色勘查；对生产矿山的地质环境要严格执行国家和省制定的各项规定；对新建矿山要严格坚持环境影响评价制度，没有通过环境影响评价的，不得准入矿产开发领域；做到既要金山银山，也要绿水青山。</w:t>
      </w:r>
    </w:p>
    <w:p>
      <w:pPr>
        <w:pStyle w:val="2"/>
      </w:pPr>
    </w:p>
    <w:p>
      <w:pPr>
        <w:pStyle w:val="3"/>
        <w:spacing w:before="120" w:after="120" w:line="360" w:lineRule="auto"/>
        <w:jc w:val="center"/>
        <w:rPr>
          <w:rFonts w:ascii="宋体" w:hAnsi="宋体" w:cs="宋体"/>
        </w:rPr>
      </w:pPr>
      <w:bookmarkStart w:id="47" w:name="_Toc5788"/>
      <w:bookmarkStart w:id="48" w:name="_Toc4216"/>
      <w:r>
        <w:rPr>
          <w:rFonts w:hint="eastAsia" w:ascii="宋体" w:hAnsi="宋体" w:cs="宋体"/>
        </w:rPr>
        <w:t>第二章  指导原则和目标</w:t>
      </w:r>
      <w:bookmarkEnd w:id="47"/>
      <w:bookmarkEnd w:id="48"/>
    </w:p>
    <w:p>
      <w:pPr>
        <w:pStyle w:val="4"/>
        <w:adjustRightInd w:val="0"/>
        <w:snapToGrid w:val="0"/>
        <w:spacing w:before="240" w:after="0" w:line="360" w:lineRule="auto"/>
        <w:jc w:val="center"/>
        <w:rPr>
          <w:rFonts w:ascii="宋体" w:hAnsi="宋体" w:cs="宋体"/>
        </w:rPr>
      </w:pPr>
      <w:bookmarkStart w:id="49" w:name="_Toc13494"/>
      <w:bookmarkStart w:id="50" w:name="_Toc12850"/>
      <w:r>
        <w:rPr>
          <w:rFonts w:hint="eastAsia" w:ascii="宋体" w:hAnsi="宋体" w:cs="宋体"/>
        </w:rPr>
        <w:t>第一节  指导思想</w:t>
      </w:r>
      <w:bookmarkEnd w:id="49"/>
      <w:bookmarkEnd w:id="50"/>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高举中国特色社会主义伟大旗帜，深入贯彻党的十九大和十九届历次全会、第三次中央新疆工作座谈会、自治区第十次党代会精神，坚持以马克思列宁主义、毛泽东思想、 邓小平理论、“三个代表”重要思想、科学发展观、习近平新时代中国特色社会主义思想为指导，深入学习贯彻习近平生态文明思想认真贯彻强化“两个坚持”实现“两个更大”的目标要求，按照“五位一体”总体布局和“四个全面”战略布局，牢固树立和贯彻落实创新、协调、绿色、开放、共享的五大发展理念，落实节约资源和保护环境的基本国策，按照自然资源“两统一”职责，以科技创新为引领，以矿业高质量发展为目标，强化资源合理利用与生态环境保护平衡，优化资源开发保护格局，加快矿业绿色转型升级，实现资源开发惠民利民，紧密结合民丰县矿产资源禀赋特点，科学规划，合理布局，重点发展锑、铅、建筑用砂矿产业开发，加强综合地质调查、积极开展绿色矿业建设，探索建立“绿水青山就是金山银山”的民丰模式，为全面建设“经济强、百姓富、生态美”的新阶段现代化美好民丰奠定坚实的矿产资源基础。</w:t>
      </w:r>
    </w:p>
    <w:p>
      <w:pPr>
        <w:pStyle w:val="4"/>
        <w:adjustRightInd w:val="0"/>
        <w:snapToGrid w:val="0"/>
        <w:spacing w:before="240" w:after="0" w:line="360" w:lineRule="auto"/>
        <w:jc w:val="center"/>
        <w:rPr>
          <w:rFonts w:ascii="宋体" w:hAnsi="宋体" w:cs="宋体"/>
        </w:rPr>
      </w:pPr>
      <w:bookmarkStart w:id="51" w:name="_Toc11198"/>
      <w:bookmarkStart w:id="52" w:name="_Toc21307"/>
      <w:r>
        <w:rPr>
          <w:rFonts w:hint="eastAsia" w:ascii="宋体" w:hAnsi="宋体" w:cs="宋体"/>
        </w:rPr>
        <w:t>第二节  规划目标</w:t>
      </w:r>
      <w:bookmarkEnd w:id="51"/>
      <w:bookmarkEnd w:id="52"/>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53" w:name="_Toc28000"/>
      <w:r>
        <w:rPr>
          <w:rFonts w:hint="eastAsia" w:ascii="黑体" w:hAnsi="黑体" w:eastAsia="黑体" w:cs="宋体"/>
          <w:color w:val="auto"/>
          <w:sz w:val="32"/>
          <w:szCs w:val="32"/>
        </w:rPr>
        <w:t>一、总体目标</w:t>
      </w:r>
      <w:bookmarkEnd w:id="53"/>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围绕民丰县国民经济和社会发展第十四个五年规划总体目标和战略导向，结合民丰县矿产资源勘查开发与保护现状、资源供需形式和资源环境承载力，落实《新疆维吾尔自治区矿产资源总体规划（2021-2025年）》、《新疆维吾尔自治区和田地区矿产资源总体规划（2021-2025年）》要求，确定“十四五”期间规划总体目标。到2025年，加大基础地质调查和矿产资源勘查力度，力争发现和探明一批有价值矿产资源，使本地区锑矿资源储量有所增长；矿产资源保障能力进一步提升；勘查开发利用布局和结构进一步优化；资源节约集约利用效率进一步提高；绿色矿业发展模式全面普及；矿产资源管理能力和服务水平得到全面提高；矿产资源开发布局及开采总量管控趋于合理。绿色矿业发展格局基本形成，矿山地质环境保护与生态修复取得新进展。矿产资源管理水平不断提升。</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54" w:name="_Toc14217"/>
      <w:r>
        <w:rPr>
          <w:rFonts w:hint="eastAsia" w:ascii="黑体" w:hAnsi="黑体" w:eastAsia="黑体" w:cs="宋体"/>
          <w:color w:val="auto"/>
          <w:sz w:val="32"/>
          <w:szCs w:val="32"/>
        </w:rPr>
        <w:t>二、2025年目标</w:t>
      </w:r>
      <w:bookmarkEnd w:id="54"/>
    </w:p>
    <w:p>
      <w:pPr>
        <w:pStyle w:val="10"/>
        <w:ind w:firstLine="564"/>
        <w:rPr>
          <w:rFonts w:ascii="仿宋_GB2312" w:hAnsi="仿宋" w:eastAsia="仿宋_GB2312" w:cs="宋体"/>
          <w:sz w:val="32"/>
          <w:szCs w:val="32"/>
        </w:rPr>
      </w:pPr>
      <w:r>
        <w:rPr>
          <w:rFonts w:hint="eastAsia" w:ascii="仿宋_GB2312" w:hAnsi="仿宋" w:eastAsia="仿宋_GB2312" w:cs="宋体"/>
          <w:sz w:val="32"/>
          <w:szCs w:val="32"/>
        </w:rPr>
        <w:t>以提高全县国民经济和社会可持续发展对矿产资源需求的保障能力为目标，将规划目标分为约束性指标和预期性指标两类。</w:t>
      </w:r>
    </w:p>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（一）基础地质调查目标</w:t>
      </w:r>
    </w:p>
    <w:p>
      <w:pPr>
        <w:pStyle w:val="10"/>
        <w:ind w:firstLine="564"/>
        <w:rPr>
          <w:rFonts w:ascii="仿宋_GB2312" w:hAnsi="仿宋" w:eastAsia="仿宋_GB2312" w:cs="宋体"/>
          <w:b/>
          <w:bCs/>
          <w:kern w:val="0"/>
          <w:sz w:val="32"/>
          <w:szCs w:val="32"/>
        </w:rPr>
      </w:pPr>
      <w:r>
        <w:rPr>
          <w:rFonts w:hint="eastAsia" w:ascii="仿宋_GB2312" w:hAnsi="仿宋" w:eastAsia="仿宋_GB2312" w:cs="宋体"/>
          <w:sz w:val="32"/>
          <w:szCs w:val="32"/>
        </w:rPr>
        <w:t>持续推进基础地质调查工作，显著提高地质服务能力。至2025年，完成重要成矿区带的1:5万矿产地质调查和遥感地质解译1000平方千米（专栏2-1）。地质工作服务逐步向现代农业、新型城镇化、生态旅游、生态保护和巩固扶贫成果等领域拓展。</w:t>
      </w:r>
      <w:bookmarkStart w:id="55" w:name="RANGE!A1"/>
    </w:p>
    <w:p>
      <w:pPr>
        <w:pStyle w:val="10"/>
        <w:ind w:firstLine="564"/>
        <w:rPr>
          <w:rFonts w:ascii="楷体" w:hAnsi="楷体" w:eastAsia="楷体" w:cs="宋体"/>
          <w:szCs w:val="21"/>
        </w:rPr>
      </w:pPr>
      <w:r>
        <w:rPr>
          <w:rFonts w:hint="eastAsia" w:ascii="楷体" w:hAnsi="楷体" w:eastAsia="楷体" w:cs="宋体"/>
          <w:b/>
          <w:bCs/>
          <w:kern w:val="0"/>
          <w:szCs w:val="21"/>
        </w:rPr>
        <w:t>专栏</w:t>
      </w:r>
      <w:bookmarkEnd w:id="55"/>
      <w:r>
        <w:rPr>
          <w:rFonts w:hint="eastAsia" w:ascii="楷体" w:hAnsi="楷体" w:eastAsia="楷体" w:cs="宋体"/>
          <w:b/>
          <w:bCs/>
          <w:kern w:val="0"/>
          <w:szCs w:val="21"/>
        </w:rPr>
        <w:t>2-1                      基础地质调查工程表</w:t>
      </w:r>
    </w:p>
    <w:tbl>
      <w:tblPr>
        <w:tblStyle w:val="27"/>
        <w:tblW w:w="8379" w:type="dxa"/>
        <w:jc w:val="center"/>
        <w:tblLayout w:type="fixed"/>
        <w:tblCellMar>
          <w:top w:w="0" w:type="dxa"/>
          <w:left w:w="108" w:type="dxa"/>
          <w:bottom w:w="0" w:type="dxa"/>
          <w:right w:w="108" w:type="dxa"/>
        </w:tblCellMar>
      </w:tblPr>
      <w:tblGrid>
        <w:gridCol w:w="866"/>
        <w:gridCol w:w="2049"/>
        <w:gridCol w:w="4394"/>
        <w:gridCol w:w="1070"/>
      </w:tblGrid>
      <w:tr>
        <w:tblPrEx>
          <w:tblCellMar>
            <w:top w:w="0" w:type="dxa"/>
            <w:left w:w="108" w:type="dxa"/>
            <w:bottom w:w="0" w:type="dxa"/>
            <w:right w:w="108" w:type="dxa"/>
          </w:tblCellMar>
        </w:tblPrEx>
        <w:trPr>
          <w:trHeight w:val="575" w:hRule="atLeast"/>
          <w:jc w:val="center"/>
        </w:trPr>
        <w:tc>
          <w:tcPr>
            <w:tcW w:w="866" w:type="dxa"/>
            <w:tcBorders>
              <w:top w:val="single" w:color="auto" w:sz="4"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2049"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地质调查类型</w:t>
            </w:r>
          </w:p>
        </w:tc>
        <w:tc>
          <w:tcPr>
            <w:tcW w:w="4394"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项目名称</w:t>
            </w:r>
          </w:p>
        </w:tc>
        <w:tc>
          <w:tcPr>
            <w:tcW w:w="1070" w:type="dxa"/>
            <w:tcBorders>
              <w:top w:val="single" w:color="auto" w:sz="4" w:space="0"/>
              <w:left w:val="nil"/>
              <w:bottom w:val="single" w:color="auto" w:sz="8"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面积（平方千米）</w:t>
            </w:r>
          </w:p>
        </w:tc>
      </w:tr>
      <w:tr>
        <w:tblPrEx>
          <w:tblCellMar>
            <w:top w:w="0" w:type="dxa"/>
            <w:left w:w="108" w:type="dxa"/>
            <w:bottom w:w="0" w:type="dxa"/>
            <w:right w:w="108" w:type="dxa"/>
          </w:tblCellMar>
        </w:tblPrEx>
        <w:trPr>
          <w:trHeight w:val="938" w:hRule="atLeast"/>
          <w:jc w:val="center"/>
        </w:trPr>
        <w:tc>
          <w:tcPr>
            <w:tcW w:w="866" w:type="dxa"/>
            <w:tcBorders>
              <w:top w:val="nil"/>
              <w:left w:val="single" w:color="auto" w:sz="8" w:space="0"/>
              <w:bottom w:val="single" w:color="000000" w:sz="8" w:space="0"/>
              <w:right w:val="single" w:color="auto" w:sz="8"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w:t>
            </w:r>
          </w:p>
        </w:tc>
        <w:tc>
          <w:tcPr>
            <w:tcW w:w="2049" w:type="dxa"/>
            <w:tcBorders>
              <w:top w:val="nil"/>
              <w:left w:val="single" w:color="auto" w:sz="8" w:space="0"/>
              <w:bottom w:val="single" w:color="000000" w:sz="8" w:space="0"/>
              <w:right w:val="single" w:color="auto" w:sz="8" w:space="0"/>
            </w:tcBorders>
            <w:vAlign w:val="center"/>
          </w:tcPr>
          <w:p>
            <w:pPr>
              <w:widowControl/>
              <w:spacing w:line="240" w:lineRule="atLeast"/>
              <w:rPr>
                <w:rFonts w:ascii="宋体" w:hAnsi="宋体" w:cs="宋体"/>
                <w:kern w:val="0"/>
                <w:szCs w:val="21"/>
              </w:rPr>
            </w:pPr>
            <w:r>
              <w:rPr>
                <w:rFonts w:hint="eastAsia" w:ascii="宋体" w:hAnsi="宋体" w:cs="宋体"/>
                <w:kern w:val="0"/>
                <w:szCs w:val="21"/>
              </w:rPr>
              <w:t>1:5万区域地质矿产调查</w:t>
            </w:r>
          </w:p>
        </w:tc>
        <w:tc>
          <w:tcPr>
            <w:tcW w:w="4394" w:type="dxa"/>
            <w:tcBorders>
              <w:top w:val="nil"/>
              <w:left w:val="nil"/>
              <w:right w:val="single" w:color="auto" w:sz="8" w:space="0"/>
            </w:tcBorders>
            <w:vAlign w:val="center"/>
          </w:tcPr>
          <w:p>
            <w:pPr>
              <w:widowControl/>
              <w:spacing w:line="240" w:lineRule="atLeast"/>
              <w:rPr>
                <w:rFonts w:ascii="宋体" w:hAnsi="宋体" w:cs="宋体"/>
                <w:kern w:val="0"/>
                <w:szCs w:val="21"/>
              </w:rPr>
            </w:pPr>
            <w:r>
              <w:rPr>
                <w:rFonts w:hint="eastAsia" w:ascii="宋体" w:hAnsi="宋体" w:cs="宋体"/>
                <w:kern w:val="0"/>
                <w:szCs w:val="21"/>
              </w:rPr>
              <w:t>新疆民丰县巴西其其干-阔什拉什金、铁多金属成矿带1:5万航磁异常查证</w:t>
            </w:r>
          </w:p>
        </w:tc>
        <w:tc>
          <w:tcPr>
            <w:tcW w:w="1070" w:type="dxa"/>
            <w:tcBorders>
              <w:top w:val="nil"/>
              <w:left w:val="nil"/>
              <w:bottom w:val="single" w:color="auto" w:sz="4" w:space="0"/>
              <w:right w:val="single" w:color="auto" w:sz="8"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1000</w:t>
            </w:r>
          </w:p>
        </w:tc>
      </w:tr>
      <w:tr>
        <w:tblPrEx>
          <w:tblCellMar>
            <w:top w:w="0" w:type="dxa"/>
            <w:left w:w="108" w:type="dxa"/>
            <w:bottom w:w="0" w:type="dxa"/>
            <w:right w:w="108" w:type="dxa"/>
          </w:tblCellMar>
        </w:tblPrEx>
        <w:trPr>
          <w:trHeight w:val="977" w:hRule="atLeast"/>
          <w:jc w:val="center"/>
        </w:trPr>
        <w:tc>
          <w:tcPr>
            <w:tcW w:w="866" w:type="dxa"/>
            <w:tcBorders>
              <w:top w:val="nil"/>
              <w:left w:val="single" w:color="auto" w:sz="8" w:space="0"/>
              <w:bottom w:val="single" w:color="auto" w:sz="4" w:space="0"/>
              <w:right w:val="single" w:color="auto" w:sz="8"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w:t>
            </w:r>
          </w:p>
        </w:tc>
        <w:tc>
          <w:tcPr>
            <w:tcW w:w="2049" w:type="dxa"/>
            <w:tcBorders>
              <w:top w:val="nil"/>
              <w:left w:val="single" w:color="auto" w:sz="8" w:space="0"/>
              <w:bottom w:val="single" w:color="auto" w:sz="4" w:space="0"/>
              <w:right w:val="single" w:color="auto" w:sz="8" w:space="0"/>
            </w:tcBorders>
            <w:vAlign w:val="center"/>
          </w:tcPr>
          <w:p>
            <w:pPr>
              <w:widowControl/>
              <w:spacing w:line="240" w:lineRule="atLeast"/>
              <w:rPr>
                <w:rFonts w:ascii="宋体" w:hAnsi="宋体" w:cs="宋体"/>
                <w:kern w:val="0"/>
                <w:szCs w:val="21"/>
              </w:rPr>
            </w:pPr>
            <w:r>
              <w:rPr>
                <w:rFonts w:hint="eastAsia" w:ascii="宋体" w:hAnsi="宋体" w:cs="宋体"/>
                <w:kern w:val="0"/>
                <w:szCs w:val="21"/>
              </w:rPr>
              <w:t>1:5万遥感地质解译</w:t>
            </w:r>
          </w:p>
        </w:tc>
        <w:tc>
          <w:tcPr>
            <w:tcW w:w="4394" w:type="dxa"/>
            <w:tcBorders>
              <w:top w:val="single" w:color="auto" w:sz="4" w:space="0"/>
              <w:left w:val="nil"/>
              <w:bottom w:val="single" w:color="auto" w:sz="4" w:space="0"/>
              <w:right w:val="single" w:color="auto" w:sz="8" w:space="0"/>
            </w:tcBorders>
            <w:vAlign w:val="center"/>
          </w:tcPr>
          <w:p>
            <w:pPr>
              <w:widowControl/>
              <w:spacing w:line="240" w:lineRule="atLeast"/>
              <w:rPr>
                <w:rFonts w:ascii="宋体" w:hAnsi="宋体" w:cs="宋体"/>
                <w:kern w:val="0"/>
                <w:szCs w:val="21"/>
              </w:rPr>
            </w:pPr>
            <w:r>
              <w:rPr>
                <w:rFonts w:hint="eastAsia" w:ascii="宋体" w:hAnsi="宋体" w:cs="宋体"/>
                <w:kern w:val="0"/>
                <w:szCs w:val="21"/>
              </w:rPr>
              <w:t>拉什金、铁多金属成矿带1:5万航磁异常查证</w:t>
            </w:r>
          </w:p>
        </w:tc>
        <w:tc>
          <w:tcPr>
            <w:tcW w:w="1070" w:type="dxa"/>
            <w:tcBorders>
              <w:top w:val="single" w:color="auto" w:sz="4" w:space="0"/>
              <w:left w:val="nil"/>
              <w:bottom w:val="single" w:color="auto" w:sz="4" w:space="0"/>
              <w:right w:val="single" w:color="auto" w:sz="8"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1000</w:t>
            </w:r>
          </w:p>
        </w:tc>
      </w:tr>
    </w:tbl>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（二）矿产资源勘查目标</w:t>
      </w:r>
    </w:p>
    <w:p>
      <w:pPr>
        <w:spacing w:before="156" w:beforeLines="50" w:after="156" w:afterLines="50"/>
        <w:ind w:firstLine="562"/>
        <w:rPr>
          <w:rFonts w:ascii="仿宋_GB2312" w:hAnsi="仿宋" w:eastAsia="仿宋_GB2312" w:cs="宋体"/>
          <w:sz w:val="32"/>
          <w:szCs w:val="32"/>
        </w:rPr>
      </w:pPr>
      <w:r>
        <w:rPr>
          <w:rFonts w:hint="eastAsia" w:ascii="仿宋_GB2312" w:hAnsi="仿宋" w:eastAsia="仿宋_GB2312" w:cs="宋体"/>
          <w:kern w:val="0"/>
          <w:sz w:val="32"/>
          <w:szCs w:val="32"/>
        </w:rPr>
        <w:t>加大矿产资源勘查力度，促进资源保障程度稳中有进。</w:t>
      </w:r>
      <w:r>
        <w:rPr>
          <w:rFonts w:hint="eastAsia" w:ascii="仿宋_GB2312" w:hAnsi="仿宋" w:eastAsia="仿宋_GB2312" w:cs="宋体"/>
          <w:sz w:val="32"/>
          <w:szCs w:val="32"/>
        </w:rPr>
        <w:t>加强民丰县矿产资源调查评价与勘查力度， 以锑、铅锌、金为主要目标矿种，开展勘查，力争实现重要矿产资源找矿取得突破，使资源保障能力得到提升。全面落实细化和田地区矿产资源规划部署。积极促进和引导商业性矿产资源勘查活动，鼓励社会多渠道投资开展地质勘查，保障经济社会发展对矿产资源的需求。结合和田地区矿产资源分布特点，围绕重点成矿带、重要矿集区和大型矿床外围，加强勘查评估工作（专栏2-2）。</w:t>
      </w:r>
    </w:p>
    <w:p>
      <w:pPr>
        <w:pStyle w:val="33"/>
        <w:ind w:firstLine="841" w:firstLineChars="399"/>
        <w:jc w:val="both"/>
        <w:rPr>
          <w:rFonts w:ascii="楷体" w:hAnsi="楷体" w:eastAsia="楷体" w:cs="宋体"/>
          <w:bCs/>
          <w:sz w:val="21"/>
          <w:szCs w:val="21"/>
        </w:rPr>
      </w:pPr>
      <w:r>
        <w:rPr>
          <w:rFonts w:hint="eastAsia" w:ascii="楷体" w:hAnsi="楷体" w:eastAsia="楷体" w:cs="宋体"/>
          <w:bCs/>
          <w:sz w:val="21"/>
          <w:szCs w:val="21"/>
        </w:rPr>
        <w:t>专栏2-2            民丰县2025年矿产资源规划目标</w:t>
      </w:r>
    </w:p>
    <w:tbl>
      <w:tblPr>
        <w:tblStyle w:val="27"/>
        <w:tblW w:w="7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10"/>
        <w:gridCol w:w="1778"/>
        <w:gridCol w:w="1677"/>
        <w:gridCol w:w="144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shd w:val="clear" w:color="auto" w:fill="FFFFFF"/>
            <w:vAlign w:val="center"/>
          </w:tcPr>
          <w:p>
            <w:pPr>
              <w:snapToGrid w:val="0"/>
              <w:spacing w:line="320" w:lineRule="exact"/>
              <w:jc w:val="center"/>
              <w:rPr>
                <w:rFonts w:ascii="宋体" w:hAnsi="宋体" w:cs="宋体"/>
                <w:szCs w:val="21"/>
              </w:rPr>
            </w:pPr>
            <w:r>
              <w:rPr>
                <w:rFonts w:hint="eastAsia" w:ascii="宋体" w:hAnsi="宋体" w:cs="宋体"/>
                <w:szCs w:val="21"/>
              </w:rPr>
              <w:t>序号</w:t>
            </w:r>
          </w:p>
        </w:tc>
        <w:tc>
          <w:tcPr>
            <w:tcW w:w="1778" w:type="dxa"/>
            <w:shd w:val="clear" w:color="auto" w:fill="FFFFFF"/>
            <w:vAlign w:val="center"/>
          </w:tcPr>
          <w:p>
            <w:pPr>
              <w:snapToGrid w:val="0"/>
              <w:spacing w:line="320" w:lineRule="exact"/>
              <w:jc w:val="center"/>
              <w:rPr>
                <w:rFonts w:ascii="宋体" w:hAnsi="宋体" w:cs="宋体"/>
                <w:szCs w:val="21"/>
              </w:rPr>
            </w:pPr>
            <w:r>
              <w:rPr>
                <w:rFonts w:hint="eastAsia" w:ascii="宋体" w:hAnsi="宋体" w:cs="宋体"/>
                <w:szCs w:val="21"/>
              </w:rPr>
              <w:t>指标名称</w:t>
            </w:r>
          </w:p>
        </w:tc>
        <w:tc>
          <w:tcPr>
            <w:tcW w:w="1677" w:type="dxa"/>
            <w:shd w:val="clear" w:color="auto" w:fill="FFFFFF"/>
            <w:vAlign w:val="center"/>
          </w:tcPr>
          <w:p>
            <w:pPr>
              <w:snapToGrid w:val="0"/>
              <w:spacing w:line="320" w:lineRule="exact"/>
              <w:jc w:val="center"/>
              <w:rPr>
                <w:rFonts w:ascii="宋体" w:hAnsi="宋体" w:cs="宋体"/>
                <w:szCs w:val="21"/>
              </w:rPr>
            </w:pPr>
            <w:r>
              <w:rPr>
                <w:rFonts w:hint="eastAsia" w:ascii="宋体" w:hAnsi="宋体" w:cs="宋体"/>
                <w:szCs w:val="21"/>
              </w:rPr>
              <w:t>单位</w:t>
            </w:r>
          </w:p>
        </w:tc>
        <w:tc>
          <w:tcPr>
            <w:tcW w:w="1446" w:type="dxa"/>
            <w:shd w:val="clear" w:color="auto" w:fill="FFFFFF"/>
            <w:vAlign w:val="center"/>
          </w:tcPr>
          <w:p>
            <w:pPr>
              <w:snapToGrid w:val="0"/>
              <w:spacing w:line="320" w:lineRule="exact"/>
              <w:jc w:val="center"/>
              <w:rPr>
                <w:rFonts w:ascii="宋体" w:hAnsi="宋体" w:cs="宋体"/>
                <w:szCs w:val="21"/>
              </w:rPr>
            </w:pPr>
            <w:r>
              <w:rPr>
                <w:rFonts w:hint="eastAsia" w:ascii="宋体" w:hAnsi="宋体" w:cs="宋体"/>
                <w:szCs w:val="21"/>
              </w:rPr>
              <w:t>2025年</w:t>
            </w:r>
          </w:p>
          <w:p>
            <w:pPr>
              <w:snapToGrid w:val="0"/>
              <w:spacing w:line="320" w:lineRule="exact"/>
              <w:jc w:val="center"/>
              <w:rPr>
                <w:rFonts w:ascii="宋体" w:hAnsi="宋体" w:cs="宋体"/>
                <w:szCs w:val="21"/>
              </w:rPr>
            </w:pPr>
            <w:r>
              <w:rPr>
                <w:rFonts w:hint="eastAsia" w:ascii="宋体" w:hAnsi="宋体" w:cs="宋体"/>
                <w:szCs w:val="21"/>
              </w:rPr>
              <w:t>规划目标</w:t>
            </w:r>
          </w:p>
        </w:tc>
        <w:tc>
          <w:tcPr>
            <w:tcW w:w="1350" w:type="dxa"/>
            <w:shd w:val="clear" w:color="auto" w:fill="FFFFFF"/>
            <w:vAlign w:val="center"/>
          </w:tcPr>
          <w:p>
            <w:pPr>
              <w:snapToGrid w:val="0"/>
              <w:spacing w:line="320" w:lineRule="exact"/>
              <w:jc w:val="center"/>
              <w:rPr>
                <w:rFonts w:ascii="宋体" w:hAnsi="宋体" w:cs="宋体"/>
                <w:szCs w:val="21"/>
              </w:rPr>
            </w:pPr>
            <w:r>
              <w:rPr>
                <w:rFonts w:hint="eastAsia" w:ascii="宋体" w:hAnsi="宋体" w:cs="宋体"/>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85" w:hRule="atLeast"/>
          <w:jc w:val="center"/>
        </w:trPr>
        <w:tc>
          <w:tcPr>
            <w:tcW w:w="1110"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1</w:t>
            </w:r>
          </w:p>
        </w:tc>
        <w:tc>
          <w:tcPr>
            <w:tcW w:w="1778"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新发现矿产地</w:t>
            </w:r>
          </w:p>
        </w:tc>
        <w:tc>
          <w:tcPr>
            <w:tcW w:w="1677" w:type="dxa"/>
            <w:tcBorders>
              <w:bottom w:val="nil"/>
            </w:tcBorders>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大、中型处</w:t>
            </w:r>
          </w:p>
        </w:tc>
        <w:tc>
          <w:tcPr>
            <w:tcW w:w="1446"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1</w:t>
            </w:r>
          </w:p>
        </w:tc>
        <w:tc>
          <w:tcPr>
            <w:tcW w:w="1350"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1110"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2</w:t>
            </w:r>
          </w:p>
        </w:tc>
        <w:tc>
          <w:tcPr>
            <w:tcW w:w="1778"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铅锌</w:t>
            </w:r>
          </w:p>
        </w:tc>
        <w:tc>
          <w:tcPr>
            <w:tcW w:w="1677"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铅 万吨</w:t>
            </w:r>
          </w:p>
        </w:tc>
        <w:tc>
          <w:tcPr>
            <w:tcW w:w="1446"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10</w:t>
            </w:r>
          </w:p>
        </w:tc>
        <w:tc>
          <w:tcPr>
            <w:tcW w:w="1350"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jc w:val="center"/>
        </w:trPr>
        <w:tc>
          <w:tcPr>
            <w:tcW w:w="1110"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3</w:t>
            </w:r>
          </w:p>
        </w:tc>
        <w:tc>
          <w:tcPr>
            <w:tcW w:w="1778"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金</w:t>
            </w:r>
          </w:p>
        </w:tc>
        <w:tc>
          <w:tcPr>
            <w:tcW w:w="1677"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金  吨</w:t>
            </w:r>
          </w:p>
        </w:tc>
        <w:tc>
          <w:tcPr>
            <w:tcW w:w="1446"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1</w:t>
            </w:r>
          </w:p>
        </w:tc>
        <w:tc>
          <w:tcPr>
            <w:tcW w:w="1350"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jc w:val="center"/>
        </w:trPr>
        <w:tc>
          <w:tcPr>
            <w:tcW w:w="1110"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4</w:t>
            </w:r>
          </w:p>
        </w:tc>
        <w:tc>
          <w:tcPr>
            <w:tcW w:w="1778"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锑</w:t>
            </w:r>
          </w:p>
        </w:tc>
        <w:tc>
          <w:tcPr>
            <w:tcW w:w="1677"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锑 万吨</w:t>
            </w:r>
          </w:p>
        </w:tc>
        <w:tc>
          <w:tcPr>
            <w:tcW w:w="1446"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10</w:t>
            </w:r>
          </w:p>
        </w:tc>
        <w:tc>
          <w:tcPr>
            <w:tcW w:w="1350" w:type="dxa"/>
            <w:shd w:val="clear" w:color="auto" w:fill="FFFFFF"/>
            <w:vAlign w:val="center"/>
          </w:tcPr>
          <w:p>
            <w:pPr>
              <w:widowControl/>
              <w:snapToGrid w:val="0"/>
              <w:spacing w:line="380" w:lineRule="exact"/>
              <w:jc w:val="center"/>
              <w:rPr>
                <w:rFonts w:ascii="宋体" w:hAnsi="宋体" w:cs="宋体"/>
                <w:szCs w:val="21"/>
              </w:rPr>
            </w:pPr>
            <w:r>
              <w:rPr>
                <w:rFonts w:hint="eastAsia" w:ascii="宋体" w:hAnsi="宋体" w:cs="宋体"/>
                <w:szCs w:val="21"/>
              </w:rPr>
              <w:t>预期性</w:t>
            </w:r>
          </w:p>
        </w:tc>
      </w:tr>
    </w:tbl>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（三）矿产资源开发利用规划目标</w:t>
      </w:r>
    </w:p>
    <w:p>
      <w:pPr>
        <w:pStyle w:val="2"/>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提高矿产资源开发利用与保护，保障矿产资源供应能力。以市场为导向，以年度开采计划为手段，有效调控重要优势矿产开采总量，逐步开采重要矿产资源，保障县域内重大工程建设和区域经济协调发展。合理控制开发利用强度和采矿权总数，提高矿山规模化集约化程度，优化矿山开发利用结构。规划期内有效矿山总数控制在50个以内，其中省、市级以上颁证矿山控制在170个左右，县级颁证矿山控制在280个以内，归并整合，扩大矿山规模，使大中型矿山比例提高到40%以上（专栏2-3）。</w:t>
      </w:r>
    </w:p>
    <w:p>
      <w:pPr>
        <w:pStyle w:val="2"/>
        <w:spacing w:before="0" w:beforeAutospacing="0" w:after="0" w:afterAutospacing="0"/>
        <w:ind w:firstLine="421" w:firstLineChars="200"/>
        <w:rPr>
          <w:rFonts w:ascii="楷体" w:hAnsi="楷体" w:eastAsia="楷体" w:cs="宋体"/>
          <w:sz w:val="21"/>
          <w:szCs w:val="21"/>
        </w:rPr>
      </w:pPr>
      <w:r>
        <w:rPr>
          <w:rFonts w:hint="eastAsia" w:ascii="楷体" w:hAnsi="楷体" w:eastAsia="楷体" w:cs="宋体"/>
          <w:b/>
          <w:bCs/>
          <w:sz w:val="21"/>
          <w:szCs w:val="21"/>
        </w:rPr>
        <w:t>专栏2-3                  主要矿产开采规划指标</w:t>
      </w:r>
    </w:p>
    <w:tbl>
      <w:tblPr>
        <w:tblStyle w:val="27"/>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26"/>
        <w:gridCol w:w="2265"/>
        <w:gridCol w:w="1110"/>
        <w:gridCol w:w="1200"/>
        <w:gridCol w:w="1290"/>
        <w:gridCol w:w="1170"/>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26" w:type="dxa"/>
            <w:shd w:val="clear" w:color="auto" w:fill="FFFFFF"/>
            <w:vAlign w:val="center"/>
          </w:tcPr>
          <w:p>
            <w:pPr>
              <w:snapToGrid w:val="0"/>
              <w:spacing w:line="320" w:lineRule="exact"/>
              <w:jc w:val="center"/>
              <w:rPr>
                <w:rFonts w:ascii="宋体" w:hAnsi="宋体" w:cs="宋体"/>
                <w:b/>
                <w:bCs/>
                <w:szCs w:val="21"/>
              </w:rPr>
            </w:pPr>
            <w:r>
              <w:rPr>
                <w:rFonts w:hint="eastAsia" w:ascii="宋体" w:hAnsi="宋体" w:cs="宋体"/>
                <w:b/>
                <w:bCs/>
                <w:szCs w:val="21"/>
              </w:rPr>
              <w:t>序号</w:t>
            </w:r>
          </w:p>
        </w:tc>
        <w:tc>
          <w:tcPr>
            <w:tcW w:w="2265" w:type="dxa"/>
            <w:shd w:val="clear" w:color="auto" w:fill="FFFFFF"/>
            <w:vAlign w:val="center"/>
          </w:tcPr>
          <w:p>
            <w:pPr>
              <w:snapToGrid w:val="0"/>
              <w:spacing w:line="320" w:lineRule="exact"/>
              <w:jc w:val="center"/>
              <w:rPr>
                <w:rFonts w:ascii="宋体" w:hAnsi="宋体" w:cs="宋体"/>
                <w:b/>
                <w:bCs/>
                <w:szCs w:val="21"/>
              </w:rPr>
            </w:pPr>
            <w:r>
              <w:rPr>
                <w:rFonts w:hint="eastAsia" w:ascii="宋体" w:hAnsi="宋体" w:cs="宋体"/>
                <w:b/>
                <w:bCs/>
                <w:szCs w:val="21"/>
              </w:rPr>
              <w:t>指标名称</w:t>
            </w:r>
          </w:p>
        </w:tc>
        <w:tc>
          <w:tcPr>
            <w:tcW w:w="1110" w:type="dxa"/>
            <w:shd w:val="clear" w:color="auto" w:fill="FFFFFF"/>
            <w:vAlign w:val="center"/>
          </w:tcPr>
          <w:p>
            <w:pPr>
              <w:snapToGrid w:val="0"/>
              <w:spacing w:line="320" w:lineRule="exact"/>
              <w:jc w:val="center"/>
              <w:rPr>
                <w:rFonts w:ascii="宋体" w:hAnsi="宋体" w:cs="宋体"/>
                <w:b/>
                <w:bCs/>
                <w:szCs w:val="21"/>
              </w:rPr>
            </w:pPr>
            <w:r>
              <w:rPr>
                <w:rFonts w:hint="eastAsia" w:ascii="宋体" w:hAnsi="宋体" w:cs="宋体"/>
                <w:b/>
                <w:bCs/>
                <w:szCs w:val="21"/>
              </w:rPr>
              <w:t>生产矿山（个）</w:t>
            </w:r>
          </w:p>
        </w:tc>
        <w:tc>
          <w:tcPr>
            <w:tcW w:w="1200" w:type="dxa"/>
            <w:shd w:val="clear" w:color="auto" w:fill="FFFFFF"/>
            <w:vAlign w:val="center"/>
          </w:tcPr>
          <w:p>
            <w:pPr>
              <w:snapToGrid w:val="0"/>
              <w:spacing w:line="320" w:lineRule="exact"/>
              <w:jc w:val="center"/>
              <w:rPr>
                <w:rFonts w:ascii="宋体" w:hAnsi="宋体" w:cs="宋体"/>
                <w:b/>
                <w:bCs/>
                <w:szCs w:val="21"/>
              </w:rPr>
            </w:pPr>
            <w:r>
              <w:rPr>
                <w:rFonts w:hint="eastAsia" w:ascii="宋体" w:hAnsi="宋体" w:cs="宋体"/>
                <w:b/>
                <w:bCs/>
                <w:szCs w:val="21"/>
              </w:rPr>
              <w:t>单位</w:t>
            </w:r>
          </w:p>
        </w:tc>
        <w:tc>
          <w:tcPr>
            <w:tcW w:w="1290" w:type="dxa"/>
            <w:shd w:val="clear" w:color="auto" w:fill="FFFFFF"/>
            <w:vAlign w:val="center"/>
          </w:tcPr>
          <w:p>
            <w:pPr>
              <w:snapToGrid w:val="0"/>
              <w:spacing w:line="320" w:lineRule="exact"/>
              <w:jc w:val="center"/>
              <w:rPr>
                <w:rFonts w:ascii="宋体" w:hAnsi="宋体" w:cs="宋体"/>
                <w:b/>
                <w:bCs/>
                <w:szCs w:val="21"/>
              </w:rPr>
            </w:pPr>
            <w:r>
              <w:rPr>
                <w:rFonts w:hint="eastAsia" w:ascii="宋体" w:hAnsi="宋体" w:cs="宋体"/>
                <w:b/>
                <w:bCs/>
                <w:szCs w:val="21"/>
              </w:rPr>
              <w:t>2025年当年规划目标</w:t>
            </w:r>
          </w:p>
        </w:tc>
        <w:tc>
          <w:tcPr>
            <w:tcW w:w="1170" w:type="dxa"/>
            <w:shd w:val="clear" w:color="auto" w:fill="FFFFFF"/>
            <w:vAlign w:val="center"/>
          </w:tcPr>
          <w:p>
            <w:pPr>
              <w:snapToGrid w:val="0"/>
              <w:spacing w:line="320" w:lineRule="exact"/>
              <w:jc w:val="center"/>
              <w:rPr>
                <w:rFonts w:ascii="宋体" w:hAnsi="宋体" w:cs="宋体"/>
                <w:b/>
                <w:bCs/>
                <w:szCs w:val="21"/>
              </w:rPr>
            </w:pPr>
            <w:r>
              <w:rPr>
                <w:rFonts w:hint="eastAsia" w:ascii="宋体" w:hAnsi="宋体" w:cs="宋体"/>
                <w:b/>
                <w:bCs/>
                <w:szCs w:val="21"/>
              </w:rPr>
              <w:t>规划期开采总量</w:t>
            </w:r>
          </w:p>
        </w:tc>
        <w:tc>
          <w:tcPr>
            <w:tcW w:w="1055" w:type="dxa"/>
            <w:shd w:val="clear" w:color="auto" w:fill="FFFFFF"/>
            <w:vAlign w:val="center"/>
          </w:tcPr>
          <w:p>
            <w:pPr>
              <w:snapToGrid w:val="0"/>
              <w:spacing w:line="320" w:lineRule="exact"/>
              <w:jc w:val="center"/>
              <w:rPr>
                <w:rFonts w:ascii="宋体" w:hAnsi="宋体" w:cs="宋体"/>
                <w:b/>
                <w:bCs/>
                <w:szCs w:val="21"/>
              </w:rPr>
            </w:pPr>
            <w:r>
              <w:rPr>
                <w:rFonts w:hint="eastAsia" w:ascii="宋体" w:hAnsi="宋体" w:cs="宋体"/>
                <w:b/>
                <w:bCs/>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426"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1</w:t>
            </w:r>
          </w:p>
        </w:tc>
        <w:tc>
          <w:tcPr>
            <w:tcW w:w="226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锑</w:t>
            </w:r>
          </w:p>
        </w:tc>
        <w:tc>
          <w:tcPr>
            <w:tcW w:w="111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2</w:t>
            </w:r>
          </w:p>
        </w:tc>
        <w:tc>
          <w:tcPr>
            <w:tcW w:w="120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矿石万吨</w:t>
            </w:r>
          </w:p>
        </w:tc>
        <w:tc>
          <w:tcPr>
            <w:tcW w:w="129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20</w:t>
            </w:r>
          </w:p>
        </w:tc>
        <w:tc>
          <w:tcPr>
            <w:tcW w:w="117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100</w:t>
            </w:r>
          </w:p>
        </w:tc>
        <w:tc>
          <w:tcPr>
            <w:tcW w:w="105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426"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2</w:t>
            </w:r>
          </w:p>
        </w:tc>
        <w:tc>
          <w:tcPr>
            <w:tcW w:w="226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铅锌</w:t>
            </w:r>
          </w:p>
        </w:tc>
        <w:tc>
          <w:tcPr>
            <w:tcW w:w="111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1</w:t>
            </w:r>
          </w:p>
        </w:tc>
        <w:tc>
          <w:tcPr>
            <w:tcW w:w="120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矿石万吨</w:t>
            </w:r>
          </w:p>
        </w:tc>
        <w:tc>
          <w:tcPr>
            <w:tcW w:w="129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7</w:t>
            </w:r>
          </w:p>
        </w:tc>
        <w:tc>
          <w:tcPr>
            <w:tcW w:w="117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35</w:t>
            </w:r>
          </w:p>
        </w:tc>
        <w:tc>
          <w:tcPr>
            <w:tcW w:w="105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426" w:type="dxa"/>
            <w:shd w:val="clear" w:color="auto" w:fill="FFFFFF"/>
            <w:vAlign w:val="center"/>
          </w:tcPr>
          <w:p>
            <w:pPr>
              <w:widowControl/>
              <w:snapToGrid w:val="0"/>
              <w:spacing w:line="400" w:lineRule="exact"/>
              <w:jc w:val="center"/>
              <w:rPr>
                <w:rFonts w:ascii="宋体" w:hAnsi="宋体" w:cs="宋体"/>
                <w:szCs w:val="21"/>
              </w:rPr>
            </w:pPr>
            <w:r>
              <w:rPr>
                <w:rFonts w:hint="eastAsia" w:ascii="宋体" w:hAnsi="宋体" w:cs="宋体"/>
                <w:szCs w:val="21"/>
              </w:rPr>
              <w:t>3</w:t>
            </w:r>
          </w:p>
        </w:tc>
        <w:tc>
          <w:tcPr>
            <w:tcW w:w="226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金</w:t>
            </w:r>
          </w:p>
        </w:tc>
        <w:tc>
          <w:tcPr>
            <w:tcW w:w="111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1</w:t>
            </w:r>
          </w:p>
        </w:tc>
        <w:tc>
          <w:tcPr>
            <w:tcW w:w="120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矿石万吨</w:t>
            </w:r>
          </w:p>
        </w:tc>
        <w:tc>
          <w:tcPr>
            <w:tcW w:w="129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3</w:t>
            </w:r>
          </w:p>
        </w:tc>
        <w:tc>
          <w:tcPr>
            <w:tcW w:w="117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15</w:t>
            </w:r>
          </w:p>
        </w:tc>
        <w:tc>
          <w:tcPr>
            <w:tcW w:w="105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jc w:val="center"/>
        </w:trPr>
        <w:tc>
          <w:tcPr>
            <w:tcW w:w="426" w:type="dxa"/>
            <w:shd w:val="clear" w:color="auto" w:fill="FFFFFF"/>
            <w:vAlign w:val="center"/>
          </w:tcPr>
          <w:p>
            <w:pPr>
              <w:widowControl/>
              <w:snapToGrid w:val="0"/>
              <w:spacing w:line="400" w:lineRule="exact"/>
              <w:jc w:val="center"/>
              <w:rPr>
                <w:rFonts w:ascii="宋体" w:hAnsi="宋体" w:cs="宋体"/>
                <w:szCs w:val="21"/>
              </w:rPr>
            </w:pPr>
            <w:r>
              <w:rPr>
                <w:rFonts w:hint="eastAsia" w:ascii="宋体" w:hAnsi="宋体" w:cs="宋体"/>
                <w:szCs w:val="21"/>
              </w:rPr>
              <w:t>4</w:t>
            </w:r>
          </w:p>
        </w:tc>
        <w:tc>
          <w:tcPr>
            <w:tcW w:w="226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建筑用砂石土类</w:t>
            </w:r>
          </w:p>
        </w:tc>
        <w:tc>
          <w:tcPr>
            <w:tcW w:w="111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8</w:t>
            </w:r>
          </w:p>
        </w:tc>
        <w:tc>
          <w:tcPr>
            <w:tcW w:w="120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矿石万吨</w:t>
            </w:r>
          </w:p>
        </w:tc>
        <w:tc>
          <w:tcPr>
            <w:tcW w:w="129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80</w:t>
            </w:r>
          </w:p>
        </w:tc>
        <w:tc>
          <w:tcPr>
            <w:tcW w:w="117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400</w:t>
            </w:r>
          </w:p>
        </w:tc>
        <w:tc>
          <w:tcPr>
            <w:tcW w:w="105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426" w:type="dxa"/>
            <w:shd w:val="clear" w:color="auto" w:fill="FFFFFF"/>
            <w:vAlign w:val="center"/>
          </w:tcPr>
          <w:p>
            <w:pPr>
              <w:widowControl/>
              <w:snapToGrid w:val="0"/>
              <w:spacing w:line="400" w:lineRule="exact"/>
              <w:jc w:val="center"/>
              <w:rPr>
                <w:rFonts w:ascii="宋体" w:hAnsi="宋体" w:cs="宋体"/>
                <w:szCs w:val="21"/>
              </w:rPr>
            </w:pPr>
            <w:r>
              <w:rPr>
                <w:rFonts w:hint="eastAsia" w:ascii="宋体" w:hAnsi="宋体" w:cs="宋体"/>
                <w:szCs w:val="21"/>
              </w:rPr>
              <w:t>5</w:t>
            </w:r>
          </w:p>
        </w:tc>
        <w:tc>
          <w:tcPr>
            <w:tcW w:w="226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大中型矿山比例</w:t>
            </w:r>
          </w:p>
        </w:tc>
        <w:tc>
          <w:tcPr>
            <w:tcW w:w="1110" w:type="dxa"/>
            <w:shd w:val="clear" w:color="auto" w:fill="FFFFFF"/>
            <w:vAlign w:val="center"/>
          </w:tcPr>
          <w:p>
            <w:pPr>
              <w:widowControl/>
              <w:snapToGrid w:val="0"/>
              <w:spacing w:line="320" w:lineRule="exact"/>
              <w:jc w:val="center"/>
              <w:rPr>
                <w:rFonts w:ascii="宋体" w:hAnsi="宋体" w:cs="宋体"/>
                <w:szCs w:val="21"/>
              </w:rPr>
            </w:pPr>
          </w:p>
        </w:tc>
        <w:tc>
          <w:tcPr>
            <w:tcW w:w="120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w:t>
            </w:r>
          </w:p>
        </w:tc>
        <w:tc>
          <w:tcPr>
            <w:tcW w:w="129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40</w:t>
            </w:r>
          </w:p>
        </w:tc>
        <w:tc>
          <w:tcPr>
            <w:tcW w:w="1170" w:type="dxa"/>
            <w:shd w:val="clear" w:color="auto" w:fill="FFFFFF"/>
            <w:vAlign w:val="center"/>
          </w:tcPr>
          <w:p>
            <w:pPr>
              <w:widowControl/>
              <w:snapToGrid w:val="0"/>
              <w:spacing w:line="320" w:lineRule="exact"/>
              <w:jc w:val="center"/>
              <w:rPr>
                <w:rFonts w:ascii="宋体" w:hAnsi="宋体" w:cs="宋体"/>
                <w:szCs w:val="21"/>
              </w:rPr>
            </w:pPr>
          </w:p>
        </w:tc>
        <w:tc>
          <w:tcPr>
            <w:tcW w:w="105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0" w:hRule="atLeast"/>
          <w:jc w:val="center"/>
        </w:trPr>
        <w:tc>
          <w:tcPr>
            <w:tcW w:w="426" w:type="dxa"/>
            <w:shd w:val="clear" w:color="auto" w:fill="FFFFFF"/>
            <w:vAlign w:val="center"/>
          </w:tcPr>
          <w:p>
            <w:pPr>
              <w:widowControl/>
              <w:snapToGrid w:val="0"/>
              <w:spacing w:line="400" w:lineRule="exact"/>
              <w:jc w:val="center"/>
              <w:rPr>
                <w:rFonts w:ascii="宋体" w:hAnsi="宋体" w:cs="宋体"/>
                <w:szCs w:val="21"/>
              </w:rPr>
            </w:pPr>
            <w:r>
              <w:rPr>
                <w:rFonts w:hint="eastAsia" w:ascii="宋体" w:hAnsi="宋体" w:cs="宋体"/>
                <w:szCs w:val="21"/>
              </w:rPr>
              <w:t>6</w:t>
            </w:r>
          </w:p>
        </w:tc>
        <w:tc>
          <w:tcPr>
            <w:tcW w:w="2265" w:type="dxa"/>
            <w:shd w:val="clear" w:color="auto" w:fill="FFFFFF"/>
            <w:vAlign w:val="center"/>
          </w:tcPr>
          <w:p>
            <w:pPr>
              <w:widowControl/>
              <w:snapToGrid w:val="0"/>
              <w:spacing w:line="320" w:lineRule="exact"/>
              <w:rPr>
                <w:rFonts w:ascii="宋体" w:hAnsi="宋体" w:cs="宋体"/>
                <w:szCs w:val="21"/>
              </w:rPr>
            </w:pPr>
            <w:r>
              <w:rPr>
                <w:rFonts w:hint="eastAsia" w:ascii="宋体" w:hAnsi="宋体" w:cs="宋体"/>
                <w:szCs w:val="21"/>
              </w:rPr>
              <w:t>矿山“三率”达标率</w:t>
            </w:r>
          </w:p>
        </w:tc>
        <w:tc>
          <w:tcPr>
            <w:tcW w:w="1110" w:type="dxa"/>
            <w:shd w:val="clear" w:color="auto" w:fill="FFFFFF"/>
            <w:vAlign w:val="center"/>
          </w:tcPr>
          <w:p>
            <w:pPr>
              <w:widowControl/>
              <w:snapToGrid w:val="0"/>
              <w:spacing w:line="320" w:lineRule="exact"/>
              <w:jc w:val="center"/>
              <w:rPr>
                <w:rFonts w:ascii="宋体" w:hAnsi="宋体" w:cs="宋体"/>
                <w:szCs w:val="21"/>
              </w:rPr>
            </w:pPr>
          </w:p>
        </w:tc>
        <w:tc>
          <w:tcPr>
            <w:tcW w:w="120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w:t>
            </w:r>
          </w:p>
        </w:tc>
        <w:tc>
          <w:tcPr>
            <w:tcW w:w="1290"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95</w:t>
            </w:r>
          </w:p>
        </w:tc>
        <w:tc>
          <w:tcPr>
            <w:tcW w:w="1170" w:type="dxa"/>
            <w:shd w:val="clear" w:color="auto" w:fill="FFFFFF"/>
            <w:vAlign w:val="center"/>
          </w:tcPr>
          <w:p>
            <w:pPr>
              <w:widowControl/>
              <w:snapToGrid w:val="0"/>
              <w:spacing w:line="320" w:lineRule="exact"/>
              <w:jc w:val="center"/>
              <w:rPr>
                <w:rFonts w:ascii="宋体" w:hAnsi="宋体" w:cs="宋体"/>
                <w:szCs w:val="21"/>
              </w:rPr>
            </w:pPr>
          </w:p>
        </w:tc>
        <w:tc>
          <w:tcPr>
            <w:tcW w:w="105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426" w:type="dxa"/>
            <w:shd w:val="clear" w:color="auto" w:fill="FFFFFF"/>
            <w:vAlign w:val="center"/>
          </w:tcPr>
          <w:p>
            <w:pPr>
              <w:widowControl/>
              <w:snapToGrid w:val="0"/>
              <w:spacing w:line="400" w:lineRule="exact"/>
              <w:jc w:val="center"/>
              <w:rPr>
                <w:rFonts w:ascii="宋体" w:hAnsi="宋体" w:cs="宋体"/>
                <w:szCs w:val="21"/>
              </w:rPr>
            </w:pPr>
            <w:r>
              <w:rPr>
                <w:rFonts w:hint="eastAsia" w:ascii="宋体" w:hAnsi="宋体" w:cs="宋体"/>
                <w:szCs w:val="21"/>
              </w:rPr>
              <w:t>7</w:t>
            </w:r>
          </w:p>
        </w:tc>
        <w:tc>
          <w:tcPr>
            <w:tcW w:w="2265" w:type="dxa"/>
            <w:shd w:val="clear" w:color="auto" w:fill="FFFFFF"/>
            <w:vAlign w:val="center"/>
          </w:tcPr>
          <w:p>
            <w:pPr>
              <w:snapToGrid w:val="0"/>
              <w:spacing w:line="320" w:lineRule="exact"/>
              <w:jc w:val="center"/>
              <w:rPr>
                <w:rFonts w:ascii="宋体" w:hAnsi="宋体" w:cs="宋体"/>
                <w:szCs w:val="21"/>
              </w:rPr>
            </w:pPr>
            <w:r>
              <w:rPr>
                <w:rFonts w:hint="eastAsia" w:ascii="宋体" w:hAnsi="宋体" w:cs="宋体"/>
                <w:szCs w:val="21"/>
              </w:rPr>
              <w:t>主要有色金属共伴生矿产综合利用率提高比例</w:t>
            </w:r>
          </w:p>
        </w:tc>
        <w:tc>
          <w:tcPr>
            <w:tcW w:w="1110" w:type="dxa"/>
            <w:shd w:val="clear" w:color="auto" w:fill="FFFFFF"/>
            <w:vAlign w:val="center"/>
          </w:tcPr>
          <w:p>
            <w:pPr>
              <w:snapToGrid w:val="0"/>
              <w:spacing w:after="31" w:afterLines="10" w:line="380" w:lineRule="exact"/>
              <w:jc w:val="center"/>
              <w:rPr>
                <w:rFonts w:ascii="宋体" w:hAnsi="宋体" w:cs="宋体"/>
                <w:szCs w:val="21"/>
              </w:rPr>
            </w:pPr>
          </w:p>
        </w:tc>
        <w:tc>
          <w:tcPr>
            <w:tcW w:w="1200" w:type="dxa"/>
            <w:shd w:val="clear" w:color="auto" w:fill="FFFFFF"/>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w:t>
            </w:r>
          </w:p>
        </w:tc>
        <w:tc>
          <w:tcPr>
            <w:tcW w:w="1290" w:type="dxa"/>
            <w:shd w:val="clear" w:color="auto" w:fill="FFFFFF"/>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2-3</w:t>
            </w:r>
          </w:p>
        </w:tc>
        <w:tc>
          <w:tcPr>
            <w:tcW w:w="1170" w:type="dxa"/>
            <w:shd w:val="clear" w:color="auto" w:fill="FFFFFF"/>
            <w:vAlign w:val="center"/>
          </w:tcPr>
          <w:p>
            <w:pPr>
              <w:snapToGrid w:val="0"/>
              <w:spacing w:after="31" w:afterLines="10" w:line="380" w:lineRule="exact"/>
              <w:jc w:val="center"/>
              <w:rPr>
                <w:rFonts w:ascii="宋体" w:hAnsi="宋体" w:cs="宋体"/>
                <w:szCs w:val="21"/>
              </w:rPr>
            </w:pPr>
          </w:p>
        </w:tc>
        <w:tc>
          <w:tcPr>
            <w:tcW w:w="105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6" w:hRule="atLeast"/>
          <w:jc w:val="center"/>
        </w:trPr>
        <w:tc>
          <w:tcPr>
            <w:tcW w:w="426" w:type="dxa"/>
            <w:shd w:val="clear" w:color="auto" w:fill="FFFFFF"/>
            <w:vAlign w:val="center"/>
          </w:tcPr>
          <w:p>
            <w:pPr>
              <w:widowControl/>
              <w:snapToGrid w:val="0"/>
              <w:spacing w:line="400" w:lineRule="exact"/>
              <w:jc w:val="center"/>
              <w:rPr>
                <w:rFonts w:ascii="宋体" w:hAnsi="宋体" w:cs="宋体"/>
                <w:szCs w:val="21"/>
              </w:rPr>
            </w:pPr>
            <w:r>
              <w:rPr>
                <w:rFonts w:hint="eastAsia" w:ascii="宋体" w:hAnsi="宋体" w:cs="宋体"/>
                <w:szCs w:val="21"/>
              </w:rPr>
              <w:t>8</w:t>
            </w:r>
          </w:p>
        </w:tc>
        <w:tc>
          <w:tcPr>
            <w:tcW w:w="2265" w:type="dxa"/>
            <w:shd w:val="clear" w:color="auto" w:fill="FFFFFF"/>
            <w:vAlign w:val="center"/>
          </w:tcPr>
          <w:p>
            <w:pPr>
              <w:snapToGrid w:val="0"/>
              <w:spacing w:line="320" w:lineRule="exact"/>
              <w:jc w:val="center"/>
              <w:rPr>
                <w:rFonts w:ascii="宋体" w:hAnsi="宋体" w:cs="宋体"/>
                <w:szCs w:val="21"/>
              </w:rPr>
            </w:pPr>
            <w:r>
              <w:rPr>
                <w:rFonts w:hint="eastAsia" w:ascii="宋体" w:hAnsi="宋体" w:cs="宋体"/>
                <w:szCs w:val="21"/>
              </w:rPr>
              <w:t>合计</w:t>
            </w:r>
          </w:p>
        </w:tc>
        <w:tc>
          <w:tcPr>
            <w:tcW w:w="1110" w:type="dxa"/>
            <w:shd w:val="clear" w:color="auto" w:fill="FFFFFF"/>
            <w:vAlign w:val="center"/>
          </w:tcPr>
          <w:p>
            <w:pPr>
              <w:snapToGrid w:val="0"/>
              <w:spacing w:after="31" w:afterLines="10" w:line="380" w:lineRule="exact"/>
              <w:jc w:val="center"/>
              <w:rPr>
                <w:rFonts w:ascii="宋体" w:hAnsi="宋体" w:cs="宋体"/>
                <w:szCs w:val="21"/>
              </w:rPr>
            </w:pPr>
          </w:p>
        </w:tc>
        <w:tc>
          <w:tcPr>
            <w:tcW w:w="1200" w:type="dxa"/>
            <w:shd w:val="clear" w:color="auto" w:fill="FFFFFF"/>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万吨</w:t>
            </w:r>
          </w:p>
        </w:tc>
        <w:tc>
          <w:tcPr>
            <w:tcW w:w="1290" w:type="dxa"/>
            <w:shd w:val="clear" w:color="auto" w:fill="FFFFFF"/>
            <w:vAlign w:val="center"/>
          </w:tcPr>
          <w:p>
            <w:pPr>
              <w:snapToGrid w:val="0"/>
              <w:spacing w:after="31" w:afterLines="10" w:line="380" w:lineRule="exact"/>
              <w:jc w:val="center"/>
              <w:rPr>
                <w:rFonts w:ascii="宋体" w:hAnsi="宋体" w:cs="宋体"/>
                <w:szCs w:val="21"/>
              </w:rPr>
            </w:pPr>
          </w:p>
        </w:tc>
        <w:tc>
          <w:tcPr>
            <w:tcW w:w="1170" w:type="dxa"/>
            <w:shd w:val="clear" w:color="auto" w:fill="FFFFFF"/>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550</w:t>
            </w:r>
          </w:p>
        </w:tc>
        <w:tc>
          <w:tcPr>
            <w:tcW w:w="1055" w:type="dxa"/>
            <w:shd w:val="clear" w:color="auto" w:fill="FFFFFF"/>
            <w:vAlign w:val="center"/>
          </w:tcPr>
          <w:p>
            <w:pPr>
              <w:widowControl/>
              <w:snapToGrid w:val="0"/>
              <w:spacing w:line="320" w:lineRule="exact"/>
              <w:jc w:val="center"/>
              <w:rPr>
                <w:rFonts w:ascii="宋体" w:hAnsi="宋体" w:cs="宋体"/>
                <w:szCs w:val="21"/>
              </w:rPr>
            </w:pPr>
            <w:r>
              <w:rPr>
                <w:rFonts w:hint="eastAsia" w:ascii="宋体" w:hAnsi="宋体" w:cs="宋体"/>
                <w:szCs w:val="21"/>
              </w:rPr>
              <w:t>预期性</w:t>
            </w:r>
          </w:p>
        </w:tc>
      </w:tr>
    </w:tbl>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（四）矿山环境保护与治理恢复方面规划目标</w:t>
      </w:r>
    </w:p>
    <w:p>
      <w:pPr>
        <w:ind w:firstLine="560"/>
        <w:rPr>
          <w:rFonts w:ascii="仿宋_GB2312" w:hAnsi="仿宋" w:eastAsia="仿宋_GB2312" w:cs="宋体"/>
          <w:sz w:val="32"/>
          <w:szCs w:val="32"/>
        </w:rPr>
      </w:pPr>
      <w:r>
        <w:rPr>
          <w:rFonts w:hint="eastAsia" w:ascii="仿宋_GB2312" w:hAnsi="仿宋" w:eastAsia="仿宋_GB2312" w:cs="宋体"/>
          <w:kern w:val="0"/>
          <w:sz w:val="32"/>
          <w:szCs w:val="32"/>
        </w:rPr>
        <w:t>矿山地质环境得到实质性改善。</w:t>
      </w:r>
      <w:r>
        <w:rPr>
          <w:rFonts w:hint="eastAsia" w:ascii="仿宋_GB2312" w:hAnsi="仿宋" w:eastAsia="仿宋_GB2312" w:cs="宋体"/>
          <w:sz w:val="32"/>
          <w:szCs w:val="32"/>
        </w:rPr>
        <w:t>进一步完善矿山地质环境保护与治理恢复管理体系，强化监管执法力度；全面落实矿山地质环境治理恢复保证金，完善经费使用的监督管理机制；新建（在建）和生产矿山应制定并严格按照矿山地质环境保护与土地复垦方案实施，从而使矿山地质环境得到改善，矿山损毁土地得到有效复垦。到2025年，修复生态环境矿山2个，修复面积50公顷，同时完善矿山地质环境动态监测体系建设。建立矿山地质环境保护与治理恢复及土地复垦长效机制，通过制度建设与政策支持，形成矿山地质环境保护新格局。</w:t>
      </w:r>
    </w:p>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（五）绿色矿业发展目标</w:t>
      </w:r>
    </w:p>
    <w:p>
      <w:pPr>
        <w:spacing w:after="156" w:afterLines="50"/>
        <w:ind w:firstLine="562"/>
        <w:rPr>
          <w:rFonts w:ascii="仿宋_GB2312" w:hAnsi="仿宋" w:eastAsia="仿宋_GB2312" w:cs="仿宋"/>
          <w:sz w:val="32"/>
          <w:szCs w:val="32"/>
        </w:rPr>
      </w:pPr>
      <w:r>
        <w:rPr>
          <w:rFonts w:hint="eastAsia" w:ascii="仿宋_GB2312" w:hAnsi="仿宋" w:eastAsia="仿宋_GB2312" w:cs="宋体"/>
          <w:kern w:val="0"/>
          <w:sz w:val="32"/>
          <w:szCs w:val="32"/>
        </w:rPr>
        <w:t>绿色矿山建设取得明显进展。</w:t>
      </w:r>
      <w:r>
        <w:rPr>
          <w:rFonts w:hint="eastAsia" w:ascii="仿宋_GB2312" w:hAnsi="仿宋" w:eastAsia="仿宋_GB2312" w:cs="宋体"/>
          <w:sz w:val="32"/>
          <w:szCs w:val="32"/>
        </w:rPr>
        <w:t>按照绿色发展要求，加强对矿山企业的管理。新建和改扩建矿山按绿色矿山建设标准严格准入管理，生产矿山严格按绿色矿山建设标准进行整改，全面推进矿业转型升级和绿色发展。到2025年，全面推进矿业转型升级和绿色发展。到2025年，力争大型矿山绿色矿山建成率达到大型矿山总数的100%，中型比例达到50%以上（专栏2-4），小型矿山要按照绿色矿山要求严格规范管理。</w:t>
      </w:r>
      <w:r>
        <w:rPr>
          <w:rFonts w:hint="eastAsia" w:ascii="仿宋_GB2312" w:hAnsi="仿宋" w:eastAsia="仿宋_GB2312" w:cs="仿宋"/>
          <w:sz w:val="32"/>
          <w:szCs w:val="32"/>
        </w:rPr>
        <w:t xml:space="preserve"> </w:t>
      </w:r>
    </w:p>
    <w:p>
      <w:pPr>
        <w:spacing w:after="156" w:afterLines="50"/>
        <w:ind w:firstLine="562"/>
        <w:rPr>
          <w:rFonts w:ascii="楷体" w:hAnsi="楷体" w:eastAsia="楷体" w:cs="仿宋"/>
          <w:szCs w:val="21"/>
        </w:rPr>
      </w:pPr>
      <w:r>
        <w:rPr>
          <w:rFonts w:hint="eastAsia" w:ascii="楷体" w:hAnsi="楷体" w:eastAsia="楷体" w:cs="宋体"/>
          <w:b/>
          <w:bCs/>
          <w:kern w:val="0"/>
          <w:szCs w:val="21"/>
        </w:rPr>
        <w:t>专栏2-4                绿色矿山建设主要规划目标</w:t>
      </w:r>
    </w:p>
    <w:tbl>
      <w:tblPr>
        <w:tblStyle w:val="27"/>
        <w:tblW w:w="8472"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28" w:type="dxa"/>
          <w:bottom w:w="0" w:type="dxa"/>
          <w:right w:w="28" w:type="dxa"/>
        </w:tblCellMar>
      </w:tblPr>
      <w:tblGrid>
        <w:gridCol w:w="992"/>
        <w:gridCol w:w="2552"/>
        <w:gridCol w:w="1363"/>
        <w:gridCol w:w="186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6" w:hRule="atLeast"/>
        </w:trPr>
        <w:tc>
          <w:tcPr>
            <w:tcW w:w="992" w:type="dxa"/>
            <w:shd w:val="clear" w:color="auto" w:fill="FFFFFF"/>
            <w:tcMar>
              <w:left w:w="57" w:type="dxa"/>
              <w:right w:w="57" w:type="dxa"/>
            </w:tcMar>
            <w:vAlign w:val="center"/>
          </w:tcPr>
          <w:p>
            <w:pPr>
              <w:snapToGrid w:val="0"/>
              <w:spacing w:line="340" w:lineRule="exact"/>
              <w:jc w:val="center"/>
              <w:rPr>
                <w:rFonts w:ascii="宋体" w:hAnsi="宋体" w:cs="宋体"/>
                <w:b/>
                <w:bCs/>
                <w:szCs w:val="21"/>
              </w:rPr>
            </w:pPr>
            <w:r>
              <w:rPr>
                <w:rFonts w:hint="eastAsia" w:ascii="宋体" w:hAnsi="宋体" w:cs="宋体"/>
                <w:b/>
                <w:bCs/>
                <w:szCs w:val="21"/>
              </w:rPr>
              <w:t>序号</w:t>
            </w:r>
          </w:p>
        </w:tc>
        <w:tc>
          <w:tcPr>
            <w:tcW w:w="2552" w:type="dxa"/>
            <w:shd w:val="clear" w:color="auto" w:fill="FFFFFF"/>
            <w:tcMar>
              <w:left w:w="57" w:type="dxa"/>
              <w:right w:w="57" w:type="dxa"/>
            </w:tcMar>
            <w:vAlign w:val="center"/>
          </w:tcPr>
          <w:p>
            <w:pPr>
              <w:snapToGrid w:val="0"/>
              <w:spacing w:line="340" w:lineRule="exact"/>
              <w:jc w:val="center"/>
              <w:rPr>
                <w:rFonts w:ascii="宋体" w:hAnsi="宋体" w:cs="宋体"/>
                <w:b/>
                <w:bCs/>
                <w:szCs w:val="21"/>
              </w:rPr>
            </w:pPr>
            <w:r>
              <w:rPr>
                <w:rFonts w:hint="eastAsia" w:ascii="宋体" w:hAnsi="宋体" w:cs="宋体"/>
                <w:b/>
                <w:bCs/>
                <w:szCs w:val="21"/>
              </w:rPr>
              <w:t>指标名称</w:t>
            </w:r>
          </w:p>
        </w:tc>
        <w:tc>
          <w:tcPr>
            <w:tcW w:w="1363" w:type="dxa"/>
            <w:shd w:val="clear" w:color="auto" w:fill="FFFFFF"/>
            <w:tcMar>
              <w:left w:w="57" w:type="dxa"/>
              <w:right w:w="57" w:type="dxa"/>
            </w:tcMar>
            <w:vAlign w:val="center"/>
          </w:tcPr>
          <w:p>
            <w:pPr>
              <w:snapToGrid w:val="0"/>
              <w:spacing w:line="340" w:lineRule="exact"/>
              <w:jc w:val="center"/>
              <w:rPr>
                <w:rFonts w:ascii="宋体" w:hAnsi="宋体" w:cs="宋体"/>
                <w:b/>
                <w:bCs/>
                <w:szCs w:val="21"/>
              </w:rPr>
            </w:pPr>
            <w:r>
              <w:rPr>
                <w:rFonts w:hint="eastAsia" w:ascii="宋体" w:hAnsi="宋体" w:cs="宋体"/>
                <w:b/>
                <w:bCs/>
                <w:szCs w:val="21"/>
              </w:rPr>
              <w:t>单位</w:t>
            </w:r>
          </w:p>
        </w:tc>
        <w:tc>
          <w:tcPr>
            <w:tcW w:w="1866" w:type="dxa"/>
            <w:shd w:val="clear" w:color="auto" w:fill="FFFFFF"/>
            <w:vAlign w:val="center"/>
          </w:tcPr>
          <w:p>
            <w:pPr>
              <w:snapToGrid w:val="0"/>
              <w:spacing w:line="340" w:lineRule="exact"/>
              <w:jc w:val="center"/>
              <w:rPr>
                <w:rFonts w:ascii="宋体" w:hAnsi="宋体" w:cs="宋体"/>
                <w:b/>
                <w:bCs/>
                <w:szCs w:val="21"/>
              </w:rPr>
            </w:pPr>
            <w:r>
              <w:rPr>
                <w:rFonts w:hint="eastAsia" w:ascii="宋体" w:hAnsi="宋体" w:cs="宋体"/>
                <w:b/>
                <w:bCs/>
                <w:szCs w:val="21"/>
              </w:rPr>
              <w:t>规划目标</w:t>
            </w:r>
          </w:p>
        </w:tc>
        <w:tc>
          <w:tcPr>
            <w:tcW w:w="1699" w:type="dxa"/>
            <w:shd w:val="clear" w:color="auto" w:fill="FFFFFF"/>
            <w:vAlign w:val="center"/>
          </w:tcPr>
          <w:p>
            <w:pPr>
              <w:snapToGrid w:val="0"/>
              <w:spacing w:line="340" w:lineRule="exact"/>
              <w:jc w:val="center"/>
              <w:rPr>
                <w:rFonts w:ascii="宋体" w:hAnsi="宋体" w:cs="宋体"/>
                <w:b/>
                <w:bCs/>
                <w:szCs w:val="21"/>
              </w:rPr>
            </w:pPr>
            <w:r>
              <w:rPr>
                <w:rFonts w:hint="eastAsia" w:ascii="宋体" w:hAnsi="宋体" w:cs="宋体"/>
                <w:b/>
                <w:bCs/>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298" w:hRule="atLeast"/>
        </w:trPr>
        <w:tc>
          <w:tcPr>
            <w:tcW w:w="992" w:type="dxa"/>
            <w:shd w:val="clear" w:color="auto" w:fill="FFFFFF"/>
            <w:tcMar>
              <w:left w:w="57" w:type="dxa"/>
              <w:right w:w="57" w:type="dxa"/>
            </w:tcMar>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1</w:t>
            </w:r>
          </w:p>
        </w:tc>
        <w:tc>
          <w:tcPr>
            <w:tcW w:w="2552" w:type="dxa"/>
            <w:shd w:val="clear" w:color="auto" w:fill="FFFFFF"/>
            <w:tcMar>
              <w:left w:w="57" w:type="dxa"/>
              <w:right w:w="57" w:type="dxa"/>
            </w:tcMar>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中型矿山绿色矿山</w:t>
            </w:r>
          </w:p>
        </w:tc>
        <w:tc>
          <w:tcPr>
            <w:tcW w:w="1363" w:type="dxa"/>
            <w:shd w:val="clear" w:color="auto" w:fill="FFFFFF"/>
            <w:tcMar>
              <w:left w:w="57" w:type="dxa"/>
              <w:right w:w="57" w:type="dxa"/>
            </w:tcMar>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w:t>
            </w:r>
          </w:p>
        </w:tc>
        <w:tc>
          <w:tcPr>
            <w:tcW w:w="1866" w:type="dxa"/>
            <w:shd w:val="clear" w:color="auto" w:fill="FFFFFF"/>
            <w:tcMar>
              <w:left w:w="57" w:type="dxa"/>
              <w:right w:w="57" w:type="dxa"/>
            </w:tcMar>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50</w:t>
            </w:r>
          </w:p>
        </w:tc>
        <w:tc>
          <w:tcPr>
            <w:tcW w:w="1699" w:type="dxa"/>
            <w:shd w:val="clear" w:color="auto" w:fill="FFFFFF"/>
            <w:tcMar>
              <w:left w:w="57" w:type="dxa"/>
              <w:right w:w="57" w:type="dxa"/>
            </w:tcMar>
            <w:vAlign w:val="center"/>
          </w:tcPr>
          <w:p>
            <w:pPr>
              <w:snapToGrid w:val="0"/>
              <w:spacing w:after="31" w:afterLines="10" w:line="380" w:lineRule="exact"/>
              <w:ind w:firstLine="420" w:firstLineChars="200"/>
              <w:rPr>
                <w:rFonts w:ascii="宋体" w:hAnsi="宋体" w:cs="宋体"/>
                <w:szCs w:val="21"/>
              </w:rPr>
            </w:pPr>
            <w:r>
              <w:rPr>
                <w:rFonts w:hint="eastAsia" w:ascii="宋体" w:hAnsi="宋体" w:cs="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298" w:hRule="atLeast"/>
        </w:trPr>
        <w:tc>
          <w:tcPr>
            <w:tcW w:w="992" w:type="dxa"/>
            <w:shd w:val="clear" w:color="auto" w:fill="FFFFFF"/>
            <w:tcMar>
              <w:left w:w="57" w:type="dxa"/>
              <w:right w:w="57" w:type="dxa"/>
            </w:tcMar>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2</w:t>
            </w:r>
          </w:p>
        </w:tc>
        <w:tc>
          <w:tcPr>
            <w:tcW w:w="2552" w:type="dxa"/>
            <w:shd w:val="clear" w:color="auto" w:fill="FFFFFF"/>
            <w:tcMar>
              <w:left w:w="57" w:type="dxa"/>
              <w:right w:w="57" w:type="dxa"/>
            </w:tcMar>
            <w:vAlign w:val="center"/>
          </w:tcPr>
          <w:p>
            <w:pPr>
              <w:spacing w:line="320" w:lineRule="exact"/>
              <w:jc w:val="center"/>
              <w:rPr>
                <w:rFonts w:ascii="宋体" w:hAnsi="宋体" w:cs="宋体"/>
                <w:szCs w:val="21"/>
              </w:rPr>
            </w:pPr>
            <w:r>
              <w:rPr>
                <w:rFonts w:hint="eastAsia" w:ascii="宋体" w:hAnsi="宋体" w:cs="宋体"/>
                <w:szCs w:val="21"/>
              </w:rPr>
              <w:t>生态环境恢复</w:t>
            </w:r>
          </w:p>
        </w:tc>
        <w:tc>
          <w:tcPr>
            <w:tcW w:w="1363" w:type="dxa"/>
            <w:shd w:val="clear" w:color="auto" w:fill="FFFFFF"/>
            <w:tcMar>
              <w:left w:w="57" w:type="dxa"/>
              <w:right w:w="57" w:type="dxa"/>
            </w:tcMar>
            <w:vAlign w:val="center"/>
          </w:tcPr>
          <w:p>
            <w:pPr>
              <w:spacing w:line="320" w:lineRule="exact"/>
              <w:jc w:val="center"/>
              <w:rPr>
                <w:rFonts w:ascii="宋体" w:hAnsi="宋体" w:cs="宋体"/>
                <w:szCs w:val="21"/>
              </w:rPr>
            </w:pPr>
            <w:r>
              <w:rPr>
                <w:rFonts w:hint="eastAsia" w:ascii="宋体" w:hAnsi="宋体" w:cs="宋体"/>
                <w:szCs w:val="21"/>
              </w:rPr>
              <w:t>公顷</w:t>
            </w:r>
          </w:p>
        </w:tc>
        <w:tc>
          <w:tcPr>
            <w:tcW w:w="1866" w:type="dxa"/>
            <w:shd w:val="clear" w:color="auto" w:fill="FFFFFF"/>
            <w:tcMar>
              <w:left w:w="57" w:type="dxa"/>
              <w:right w:w="57" w:type="dxa"/>
            </w:tcMar>
            <w:vAlign w:val="center"/>
          </w:tcPr>
          <w:p>
            <w:pPr>
              <w:spacing w:line="320" w:lineRule="exact"/>
              <w:jc w:val="center"/>
              <w:rPr>
                <w:rFonts w:ascii="宋体" w:hAnsi="宋体" w:cs="宋体"/>
                <w:szCs w:val="21"/>
              </w:rPr>
            </w:pPr>
            <w:r>
              <w:rPr>
                <w:rFonts w:hint="eastAsia" w:ascii="宋体" w:hAnsi="宋体" w:cs="宋体"/>
                <w:szCs w:val="21"/>
              </w:rPr>
              <w:t>30</w:t>
            </w:r>
          </w:p>
        </w:tc>
        <w:tc>
          <w:tcPr>
            <w:tcW w:w="1699" w:type="dxa"/>
            <w:shd w:val="clear" w:color="auto" w:fill="FFFFFF"/>
            <w:tcMar>
              <w:left w:w="57" w:type="dxa"/>
              <w:right w:w="57" w:type="dxa"/>
            </w:tcMar>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 w:hRule="atLeast"/>
        </w:trPr>
        <w:tc>
          <w:tcPr>
            <w:tcW w:w="992" w:type="dxa"/>
            <w:shd w:val="clear" w:color="auto" w:fill="FFFFFF"/>
            <w:tcMar>
              <w:left w:w="57" w:type="dxa"/>
              <w:right w:w="57" w:type="dxa"/>
            </w:tcMar>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3</w:t>
            </w:r>
          </w:p>
        </w:tc>
        <w:tc>
          <w:tcPr>
            <w:tcW w:w="2552" w:type="dxa"/>
            <w:shd w:val="clear" w:color="auto" w:fill="FFFFFF"/>
            <w:tcMar>
              <w:left w:w="57" w:type="dxa"/>
              <w:right w:w="57" w:type="dxa"/>
            </w:tcMar>
            <w:vAlign w:val="center"/>
          </w:tcPr>
          <w:p>
            <w:pPr>
              <w:spacing w:line="320" w:lineRule="exact"/>
              <w:jc w:val="center"/>
              <w:rPr>
                <w:rFonts w:ascii="宋体" w:hAnsi="宋体" w:cs="宋体"/>
                <w:szCs w:val="21"/>
              </w:rPr>
            </w:pPr>
            <w:r>
              <w:rPr>
                <w:rFonts w:hint="eastAsia" w:ascii="宋体" w:hAnsi="宋体" w:cs="宋体"/>
                <w:szCs w:val="21"/>
              </w:rPr>
              <w:t>地质环境治理</w:t>
            </w:r>
          </w:p>
        </w:tc>
        <w:tc>
          <w:tcPr>
            <w:tcW w:w="1363" w:type="dxa"/>
            <w:shd w:val="clear" w:color="auto" w:fill="FFFFFF"/>
            <w:tcMar>
              <w:left w:w="57" w:type="dxa"/>
              <w:right w:w="57" w:type="dxa"/>
            </w:tcMar>
            <w:vAlign w:val="center"/>
          </w:tcPr>
          <w:p>
            <w:pPr>
              <w:spacing w:line="320" w:lineRule="exact"/>
              <w:jc w:val="center"/>
              <w:rPr>
                <w:rFonts w:ascii="宋体" w:hAnsi="宋体" w:cs="宋体"/>
                <w:szCs w:val="21"/>
              </w:rPr>
            </w:pPr>
            <w:r>
              <w:rPr>
                <w:rFonts w:hint="eastAsia" w:ascii="宋体" w:hAnsi="宋体" w:cs="宋体"/>
                <w:szCs w:val="21"/>
              </w:rPr>
              <w:t>公顷</w:t>
            </w:r>
          </w:p>
        </w:tc>
        <w:tc>
          <w:tcPr>
            <w:tcW w:w="1866" w:type="dxa"/>
            <w:shd w:val="clear" w:color="auto" w:fill="FFFFFF"/>
            <w:tcMar>
              <w:left w:w="57" w:type="dxa"/>
              <w:right w:w="57" w:type="dxa"/>
            </w:tcMar>
            <w:vAlign w:val="center"/>
          </w:tcPr>
          <w:p>
            <w:pPr>
              <w:spacing w:line="320" w:lineRule="exact"/>
              <w:jc w:val="center"/>
              <w:rPr>
                <w:rFonts w:ascii="宋体" w:hAnsi="宋体" w:cs="宋体"/>
                <w:szCs w:val="21"/>
              </w:rPr>
            </w:pPr>
            <w:r>
              <w:rPr>
                <w:rFonts w:hint="eastAsia" w:ascii="宋体" w:hAnsi="宋体" w:cs="宋体"/>
                <w:szCs w:val="21"/>
              </w:rPr>
              <w:t>30</w:t>
            </w:r>
          </w:p>
        </w:tc>
        <w:tc>
          <w:tcPr>
            <w:tcW w:w="1699" w:type="dxa"/>
            <w:shd w:val="clear" w:color="auto" w:fill="FFFFFF"/>
            <w:tcMar>
              <w:left w:w="57" w:type="dxa"/>
              <w:right w:w="57" w:type="dxa"/>
            </w:tcMar>
            <w:vAlign w:val="center"/>
          </w:tcPr>
          <w:p>
            <w:pPr>
              <w:snapToGrid w:val="0"/>
              <w:spacing w:after="31" w:afterLines="10" w:line="380" w:lineRule="exact"/>
              <w:jc w:val="center"/>
              <w:rPr>
                <w:rFonts w:ascii="宋体" w:hAnsi="宋体" w:cs="宋体"/>
                <w:szCs w:val="21"/>
              </w:rPr>
            </w:pPr>
            <w:r>
              <w:rPr>
                <w:rFonts w:hint="eastAsia" w:ascii="宋体" w:hAnsi="宋体" w:cs="宋体"/>
                <w:szCs w:val="21"/>
              </w:rPr>
              <w:t>预期性</w:t>
            </w:r>
          </w:p>
        </w:tc>
      </w:tr>
    </w:tbl>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（六）矿产资源管理规划目标</w:t>
      </w:r>
    </w:p>
    <w:p>
      <w:pPr>
        <w:adjustRightInd w:val="0"/>
        <w:ind w:firstLine="560"/>
        <w:rPr>
          <w:rFonts w:ascii="仿宋_GB2312" w:hAnsi="仿宋" w:eastAsia="仿宋_GB2312" w:cs="宋体"/>
          <w:sz w:val="32"/>
          <w:szCs w:val="32"/>
        </w:rPr>
      </w:pPr>
      <w:r>
        <w:rPr>
          <w:rFonts w:hint="eastAsia" w:ascii="仿宋_GB2312" w:hAnsi="仿宋" w:eastAsia="仿宋_GB2312" w:cs="宋体"/>
          <w:sz w:val="32"/>
          <w:szCs w:val="32"/>
        </w:rPr>
        <w:t>基本建立适应市场经济要求的矿产资源管理体制和微观运行机制，矿产资源勘查开发秩序井然，管理有规、市场有序、开发有责、调控有效、监督有力的局面基本形成，全在助力县域经济发展。</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56" w:name="_Toc12003"/>
      <w:bookmarkStart w:id="57" w:name="_Toc25141"/>
      <w:r>
        <w:rPr>
          <w:rFonts w:hint="eastAsia" w:ascii="黑体" w:hAnsi="黑体" w:eastAsia="黑体" w:cs="宋体"/>
          <w:color w:val="auto"/>
          <w:sz w:val="32"/>
          <w:szCs w:val="32"/>
        </w:rPr>
        <w:t>三、展望到2035年主要规划目标</w:t>
      </w:r>
    </w:p>
    <w:p>
      <w:pPr>
        <w:adjustRightInd w:val="0"/>
        <w:ind w:firstLine="560"/>
        <w:rPr>
          <w:rFonts w:ascii="仿宋_GB2312" w:hAnsi="仿宋" w:eastAsia="仿宋_GB2312" w:cs="宋体"/>
          <w:sz w:val="32"/>
          <w:szCs w:val="32"/>
        </w:rPr>
      </w:pPr>
      <w:r>
        <w:rPr>
          <w:rFonts w:hint="eastAsia" w:ascii="仿宋_GB2312" w:hAnsi="仿宋" w:eastAsia="仿宋_GB2312" w:cs="宋体"/>
          <w:sz w:val="32"/>
          <w:szCs w:val="32"/>
        </w:rPr>
        <w:t>到2035年县域矿产资源勘查取得长足进步，主要锑成矿带探获3-5处成型矿山，基本形成规模化矿山集群，矿产资源保障和有效供给能力进一步提升，矿产资源开发利用结构和空间布局进一步优化，形成以锑矿为主其他有色金属开发为辅的开发利用格局，矿政管理体制机制更加完善，矿产资源开采与生态文明建设协调发展，矿业高质量发展、绿色矿业格局全面形成。</w:t>
      </w:r>
    </w:p>
    <w:p>
      <w:pPr>
        <w:pStyle w:val="4"/>
        <w:adjustRightInd w:val="0"/>
        <w:snapToGrid w:val="0"/>
        <w:spacing w:before="240" w:after="0" w:line="360" w:lineRule="auto"/>
        <w:jc w:val="center"/>
        <w:rPr>
          <w:rFonts w:ascii="宋体" w:hAnsi="宋体" w:cs="宋体"/>
        </w:rPr>
      </w:pPr>
      <w:r>
        <w:rPr>
          <w:rFonts w:hint="eastAsia" w:ascii="宋体" w:hAnsi="宋体" w:cs="宋体"/>
        </w:rPr>
        <w:t>第三节  基本原则</w:t>
      </w:r>
      <w:bookmarkEnd w:id="56"/>
      <w:bookmarkEnd w:id="57"/>
    </w:p>
    <w:p>
      <w:pPr>
        <w:pStyle w:val="5"/>
        <w:widowControl w:val="0"/>
        <w:adjustRightInd w:val="0"/>
        <w:snapToGrid w:val="0"/>
        <w:spacing w:before="0" w:line="560" w:lineRule="exact"/>
        <w:ind w:firstLine="601"/>
        <w:jc w:val="both"/>
        <w:rPr>
          <w:rFonts w:ascii="黑体" w:hAnsi="黑体" w:eastAsia="黑体" w:cs="宋体"/>
          <w:color w:val="auto"/>
          <w:sz w:val="32"/>
          <w:szCs w:val="32"/>
        </w:rPr>
      </w:pPr>
      <w:r>
        <w:rPr>
          <w:rFonts w:hint="eastAsia" w:ascii="黑体" w:hAnsi="黑体" w:eastAsia="黑体" w:cs="宋体"/>
          <w:color w:val="auto"/>
          <w:sz w:val="32"/>
          <w:szCs w:val="32"/>
        </w:rPr>
        <w:t xml:space="preserve">一、坚持生态优先的原则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坚持将生态环境保护放在优先位置，践行“绿水青山就是金山银山”的矿业发展理念，贯彻落实习近平生态文明思想，加强生态文明建设，严格落实国土空间规划整体管控要求，加快健全矿业绿色发展长效机制，突出资源节约与高效利用，实现矿产资源勘查开发保护全周期、全链条绿色管控，提升全县矿业高质量发展水平。 </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r>
        <w:rPr>
          <w:rFonts w:hint="eastAsia" w:ascii="黑体" w:hAnsi="黑体" w:eastAsia="黑体" w:cs="宋体"/>
          <w:color w:val="auto"/>
          <w:sz w:val="32"/>
          <w:szCs w:val="32"/>
        </w:rPr>
        <w:t xml:space="preserve">二、坚持依据并服从上级规划的原则 </w:t>
      </w:r>
    </w:p>
    <w:p>
      <w:pPr>
        <w:widowControl/>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本《规划》以《新疆维吾尔自治区矿产资源总体规划（2021-2025 年）》、《新疆维吾尔自治区和田地区国民经济和社会发展第十四个五年规划2035 年远景目标纲要》、《新疆维吾尔自治区和田地区矿产资源总体规划（2021-2025 年）》、《新疆维吾尔自治区民丰县国土空间总体规（2021-2025 年）》为依据，与民丰县相关行业和部门规划相衔接。</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r>
        <w:rPr>
          <w:rFonts w:hint="eastAsia" w:ascii="黑体" w:hAnsi="黑体" w:eastAsia="黑体" w:cs="宋体"/>
          <w:color w:val="auto"/>
          <w:sz w:val="32"/>
          <w:szCs w:val="32"/>
        </w:rPr>
        <w:t xml:space="preserve">三、坚持资源保护与合理利用相统一的原则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坚持节约集约利用资源，提高矿产资源利用效率，紧抓矿产资源保护与综合利用工作，加强资源的节约集约利用，强化矿产资源综合利用，提高矿产资源利用效率，将行政管理与技术监督相结合，切实提高节约与综合利用水平。 </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r>
        <w:rPr>
          <w:rFonts w:hint="eastAsia" w:ascii="黑体" w:hAnsi="黑体" w:eastAsia="黑体" w:cs="宋体"/>
          <w:color w:val="auto"/>
          <w:sz w:val="32"/>
          <w:szCs w:val="32"/>
        </w:rPr>
        <w:t xml:space="preserve">四、坚持资源开发与区位经济发展相结合的原则 </w:t>
      </w:r>
    </w:p>
    <w:p>
      <w:pPr>
        <w:widowControl/>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依据矿产资源开发利用条件，结合区位经济发展需要，充分利用县内资源和市场，紧紧围绕民丰县实际需要，综合勘查、合理开发、有效保护，发挥矿产资源对经济社会发展的保障作用，促进资源优势转化为经济优势。</w:t>
      </w:r>
      <w:r>
        <w:rPr>
          <w:rFonts w:hint="eastAsia" w:ascii="仿宋_GB2312" w:hAnsi="仿宋" w:eastAsia="仿宋_GB2312" w:cs="宋体"/>
          <w:kern w:val="0"/>
          <w:sz w:val="32"/>
          <w:szCs w:val="32"/>
        </w:rPr>
        <w:t xml:space="preserve"> </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r>
        <w:rPr>
          <w:rFonts w:hint="eastAsia" w:ascii="黑体" w:hAnsi="黑体" w:eastAsia="黑体" w:cs="宋体"/>
          <w:color w:val="auto"/>
          <w:sz w:val="32"/>
          <w:szCs w:val="32"/>
        </w:rPr>
        <w:t xml:space="preserve">五、坚持资源开发与保护相协调的原则 </w:t>
      </w:r>
    </w:p>
    <w:p>
      <w:pPr>
        <w:widowControl/>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坚持“在开发中保护，在保护中开发”的基本原则，开发保护并重，突出保护，坚持资源开发与环境保护协调发展，保持资源开发与环境保护、民生改善协调发展。建立和完善矿产资源保护与利用制度建设。防止“采富弃贫”等行为带来资源的可持续性保障降低和环境的破坏。</w:t>
      </w:r>
      <w:r>
        <w:rPr>
          <w:rFonts w:hint="eastAsia" w:ascii="仿宋_GB2312" w:hAnsi="仿宋" w:eastAsia="仿宋_GB2312" w:cs="宋体"/>
          <w:kern w:val="0"/>
          <w:sz w:val="32"/>
          <w:szCs w:val="32"/>
        </w:rPr>
        <w:t xml:space="preserve">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正确处理矿业开发与生态环境保护的关系，有序推进矿山地质环境治 理工程，切实加强“环境友好型”矿业发展，全面落实生态文明建设的总体要求。 </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r>
        <w:rPr>
          <w:rFonts w:hint="eastAsia" w:ascii="黑体" w:hAnsi="黑体" w:eastAsia="黑体" w:cs="宋体"/>
          <w:color w:val="auto"/>
          <w:sz w:val="32"/>
          <w:szCs w:val="32"/>
        </w:rPr>
        <w:t xml:space="preserve">六、统筹协调发展绿色矿业的原则 </w:t>
      </w:r>
    </w:p>
    <w:p>
      <w:pPr>
        <w:widowControl/>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 xml:space="preserve">以环境保护为前提，全面推进“绿色矿山”建设，促进矿产资源综合利用水平和生态环境保护水平提高。严格实施矿山各项准入制度，提高资源利用率和综合利用效率，实现资源开发、环境保护和民生改善共赢。严守生态保护红线，实现绿色矿山达标，发展绿色矿业，统筹资源开发的经济效益、环境效益和社会效益。 </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r>
        <w:rPr>
          <w:rFonts w:hint="eastAsia" w:ascii="黑体" w:hAnsi="黑体" w:eastAsia="黑体" w:cs="宋体"/>
          <w:color w:val="auto"/>
          <w:sz w:val="32"/>
          <w:szCs w:val="32"/>
        </w:rPr>
        <w:t xml:space="preserve">七、坚持改革创新驱动，强化管理，推动矿业转型升级 </w:t>
      </w:r>
    </w:p>
    <w:p>
      <w:pPr>
        <w:widowControl/>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通过高新技术和先进适用技术改造提升矿产开发产业,淘汰落后设备、工艺和产能；通过政府引导,激发企业内在动力,促进矿山走规模化、机械化、标准化和信息化发展道路,全面提升矿产业竞争力。</w:t>
      </w:r>
      <w:r>
        <w:rPr>
          <w:rFonts w:hint="eastAsia" w:ascii="仿宋_GB2312" w:hAnsi="仿宋" w:eastAsia="仿宋_GB2312" w:cs="宋体"/>
          <w:kern w:val="0"/>
          <w:sz w:val="32"/>
          <w:szCs w:val="32"/>
        </w:rPr>
        <w:t xml:space="preserve">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进一步完善矿产资源勘查、开发机制，规范勘查开发秩序，探索适应改革发展的科技创新和技术进步新平台、新抓手，逐步形成完善的规划体系和规划管理机制。 </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r>
        <w:rPr>
          <w:rFonts w:hint="eastAsia" w:ascii="黑体" w:hAnsi="黑体" w:eastAsia="黑体" w:cs="宋体"/>
          <w:color w:val="auto"/>
          <w:sz w:val="32"/>
          <w:szCs w:val="32"/>
        </w:rPr>
        <w:t xml:space="preserve">八、坚持政府与市场的有机结合，优化资源要素市场配置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统筹近期与远期、局部与整体资源开发，以满足当地需求、适量外销为原则；统筹矿产开发利用的经济、社会、生态与土地效益，统筹矿产开发与森林、交通、旅游景观、水资源保护的关系，促进矿业开发与其它自然资源开发、环境保护的和谐发展。</w:t>
      </w:r>
    </w:p>
    <w:p>
      <w:pPr>
        <w:pStyle w:val="2"/>
      </w:pPr>
    </w:p>
    <w:p>
      <w:pPr>
        <w:pStyle w:val="2"/>
      </w:pPr>
    </w:p>
    <w:p>
      <w:pPr>
        <w:pStyle w:val="2"/>
      </w:pPr>
    </w:p>
    <w:p>
      <w:pPr>
        <w:pStyle w:val="2"/>
      </w:pPr>
    </w:p>
    <w:p>
      <w:pPr>
        <w:pStyle w:val="3"/>
        <w:spacing w:before="120" w:after="120" w:line="360" w:lineRule="auto"/>
        <w:jc w:val="center"/>
        <w:rPr>
          <w:rFonts w:ascii="宋体" w:hAnsi="宋体" w:cs="宋体"/>
        </w:rPr>
      </w:pPr>
      <w:bookmarkStart w:id="58" w:name="_Toc6156"/>
      <w:bookmarkStart w:id="59" w:name="_Toc295293378"/>
      <w:bookmarkStart w:id="60" w:name="_Toc29209"/>
      <w:r>
        <w:rPr>
          <w:rFonts w:hint="eastAsia" w:ascii="宋体" w:hAnsi="宋体" w:cs="宋体"/>
        </w:rPr>
        <w:t>第三章  矿产勘查开发与保护布局</w:t>
      </w:r>
      <w:bookmarkEnd w:id="58"/>
      <w:bookmarkEnd w:id="59"/>
      <w:bookmarkEnd w:id="60"/>
    </w:p>
    <w:p>
      <w:pPr>
        <w:pStyle w:val="4"/>
        <w:adjustRightInd w:val="0"/>
        <w:snapToGrid w:val="0"/>
        <w:spacing w:before="240" w:after="0" w:line="360" w:lineRule="auto"/>
        <w:jc w:val="center"/>
        <w:rPr>
          <w:rFonts w:ascii="宋体" w:hAnsi="宋体" w:cs="宋体"/>
        </w:rPr>
      </w:pPr>
      <w:bookmarkStart w:id="61" w:name="_Toc32503"/>
      <w:bookmarkStart w:id="62" w:name="_Toc4189"/>
      <w:r>
        <w:rPr>
          <w:rFonts w:hint="eastAsia" w:ascii="宋体" w:hAnsi="宋体" w:cs="宋体"/>
        </w:rPr>
        <w:t>第一节  矿产资源产业重点发展区域</w:t>
      </w:r>
      <w:bookmarkEnd w:id="61"/>
      <w:bookmarkEnd w:id="62"/>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63" w:name="_Toc4861"/>
      <w:r>
        <w:rPr>
          <w:rFonts w:hint="eastAsia" w:ascii="黑体" w:hAnsi="黑体" w:eastAsia="黑体" w:cs="宋体"/>
          <w:color w:val="auto"/>
          <w:sz w:val="32"/>
          <w:szCs w:val="32"/>
        </w:rPr>
        <w:t>一、矿产资源开发利用区域布局</w:t>
      </w:r>
      <w:bookmarkEnd w:id="63"/>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为落实和田地区第四轮矿产资源规划要求，依据民丰县已查明资源储量矿产资源的赋存情况和开发利用现状，本着突出全县优势矿产资源规模化集约节约化开发的原则，以满足城镇化建设和基础建设需求为目标，本次第四轮矿产资源规划重点将锑、铜、铅、锌、金、玉石矿、建筑用砂矿做为重点发展矿种。按照上述重点发展矿种的赋存情况划分如下重点发展区域：</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喀什塔什-黄羊岭铜金锑重点发展区：规划区位于铜金锑成矿带上，现有探矿权较多，成熟矿山较少，且矿山规模较小，规划期内应巩固现有矿业经济发展增长趋势，以科技为核心，利用已有矿产资源勘查成果，发掘矿山深部和周边地区找矿潜力，提高矿山选矿水平，在开发的同时注意与环境的协调发展，加强选矿污染的防护和治理。</w:t>
      </w:r>
    </w:p>
    <w:p>
      <w:pPr>
        <w:pStyle w:val="5"/>
        <w:widowControl w:val="0"/>
        <w:adjustRightInd w:val="0"/>
        <w:snapToGrid w:val="0"/>
        <w:spacing w:before="0" w:line="560" w:lineRule="exact"/>
        <w:ind w:firstLine="601"/>
        <w:jc w:val="both"/>
        <w:rPr>
          <w:rFonts w:ascii="黑体" w:hAnsi="黑体" w:eastAsia="黑体" w:cs="宋体"/>
          <w:color w:val="auto"/>
          <w:sz w:val="32"/>
          <w:szCs w:val="32"/>
        </w:rPr>
      </w:pPr>
      <w:bookmarkStart w:id="64" w:name="_Toc30985"/>
      <w:r>
        <w:rPr>
          <w:rFonts w:hint="eastAsia" w:ascii="黑体" w:hAnsi="黑体" w:eastAsia="黑体" w:cs="宋体"/>
          <w:color w:val="auto"/>
          <w:sz w:val="32"/>
          <w:szCs w:val="32"/>
        </w:rPr>
        <w:t>二、矿产资源产业结构调整和矿业转型升级的方向和措施</w:t>
      </w:r>
      <w:bookmarkEnd w:id="64"/>
    </w:p>
    <w:p>
      <w:pPr>
        <w:tabs>
          <w:tab w:val="left" w:pos="3126"/>
        </w:tabs>
        <w:spacing w:line="52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1、规模结构</w:t>
      </w:r>
      <w:r>
        <w:rPr>
          <w:rFonts w:hint="eastAsia" w:ascii="仿宋_GB2312" w:hAnsi="仿宋" w:eastAsia="仿宋_GB2312" w:cs="宋体"/>
          <w:sz w:val="32"/>
          <w:szCs w:val="32"/>
        </w:rPr>
        <w:tab/>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提高规模化、集约化开采，重点筹建大中型矿山，严格执行新建矿山最低开采规模准入标准，引导矿山企业规模开采，严格执行矿山建设标准、环境准入标准和安全标准，鼓励老矿山通过整合、提升规模达到相应最低开采规模要求。产业政策和行业准入条件高于本规划规模准入标准的，以产业政策和行业准入条件为准。以大中型矿山为龙头，以小型矿山为辅助，形成合理的开发结构，提高资源利用的效率，减少资源浪费。</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2、采（选）结构</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调整重要矿种采、选比例，改变以原矿生产为主的单一产品结构，提高资源综合利用回收水平。</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鼓励发展矿区固体废弃物减量化、资源化、无害化处理和综合利用技术；针对民丰县现有铅锑矿、金矿的共伴生矿产，积极采用国内外成熟、先进的技术、生产工艺及设备，研发其选矿与综合利用技术。</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3、产品结构</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适应国民经济发展新常态、实施供给侧结构性改革，“三去一降一补”，实现矿产品结构化，逐步调整低档产品与高档产品、单一产品与配套产品、低附加值产品与高附加值产品、高耗能产品与低耗能产品的比例，使矿产品结构向高档、配套、高附加值和低耗能转变。</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重点发展矿产品精深加工技术，积极发展锑矿加工产业链，在县城附近合适地段建设矿产品选冶工业园，提高矿产品附加值。</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4、技术结构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采用经济、行政、法律、技术等多种手段，切实落实《</w:t>
      </w:r>
      <w:bookmarkStart w:id="65" w:name="OLE_LINK27"/>
      <w:bookmarkStart w:id="66" w:name="OLE_LINK26"/>
      <w:r>
        <w:rPr>
          <w:rFonts w:hint="eastAsia" w:ascii="仿宋_GB2312" w:hAnsi="仿宋" w:eastAsia="仿宋_GB2312" w:cs="宋体"/>
          <w:sz w:val="32"/>
          <w:szCs w:val="32"/>
        </w:rPr>
        <w:t>矿产资源节约与综合利用鼓励、限制和淘汰技术目录</w:t>
      </w:r>
      <w:bookmarkEnd w:id="65"/>
      <w:bookmarkEnd w:id="66"/>
      <w:r>
        <w:rPr>
          <w:rFonts w:hint="eastAsia" w:ascii="仿宋_GB2312" w:hAnsi="仿宋" w:eastAsia="仿宋_GB2312" w:cs="宋体"/>
          <w:sz w:val="32"/>
          <w:szCs w:val="32"/>
        </w:rPr>
        <w:t>》。</w:t>
      </w:r>
    </w:p>
    <w:p>
      <w:pPr>
        <w:widowControl/>
        <w:numPr>
          <w:ilvl w:val="0"/>
          <w:numId w:val="1"/>
        </w:num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积极推进技术目录中的鼓励技术。推进高效采矿技术，高效利用技术，矿业固体废弃物、废水、废气利用技术，高效选矿技术，积极引进新技术、新工艺、新设备，提高资源利用水平。</w:t>
      </w:r>
    </w:p>
    <w:p>
      <w:pPr>
        <w:widowControl/>
        <w:numPr>
          <w:ilvl w:val="0"/>
          <w:numId w:val="1"/>
        </w:num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切实加强矿产资源开发利用的监督管理，新建矿山不得采用技术目录中的开采、选矿、冶炼加工等限制类技术，生产矿山采用属于限制类技术工艺的，应积极推进替代技术的应用。</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（3）坚决淘汰技术目录中列入的采、选、冶淘汰技术，淘汰落后设备，禁止新建矿山项目采用淘汰技术，生产矿山已采用淘汰项目的，主管部门应责令限期整改。</w:t>
      </w:r>
    </w:p>
    <w:p>
      <w:pPr>
        <w:pStyle w:val="4"/>
        <w:adjustRightInd w:val="0"/>
        <w:snapToGrid w:val="0"/>
        <w:spacing w:before="240" w:after="0" w:line="360" w:lineRule="auto"/>
        <w:jc w:val="center"/>
        <w:rPr>
          <w:rFonts w:ascii="宋体" w:hAnsi="宋体" w:cs="宋体"/>
        </w:rPr>
      </w:pPr>
      <w:bookmarkStart w:id="67" w:name="_Toc13428"/>
      <w:bookmarkStart w:id="68" w:name="_Toc10893"/>
      <w:r>
        <w:rPr>
          <w:rFonts w:hint="eastAsia" w:ascii="宋体" w:hAnsi="宋体" w:cs="宋体"/>
        </w:rPr>
        <w:t>第二节  矿产资源勘查开采调控方向</w:t>
      </w:r>
      <w:bookmarkEnd w:id="67"/>
      <w:bookmarkEnd w:id="68"/>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依据民丰县成矿地质条件、成矿远景区区划、矿产勘查程度以及全县已查明矿产资源，结合全县城镇化建设和基础建设对非金属建材需求不断增大的特点，确定重点、限制和禁止勘查开采矿种。</w:t>
      </w:r>
    </w:p>
    <w:p>
      <w:pPr>
        <w:adjustRightInd w:val="0"/>
        <w:snapToGrid w:val="0"/>
        <w:spacing w:line="560" w:lineRule="exact"/>
        <w:ind w:firstLine="642" w:firstLineChars="200"/>
        <w:outlineLvl w:val="3"/>
        <w:rPr>
          <w:rFonts w:ascii="楷体" w:hAnsi="楷体" w:eastAsia="楷体" w:cs="宋体"/>
          <w:b/>
          <w:bCs/>
          <w:sz w:val="32"/>
          <w:szCs w:val="32"/>
        </w:rPr>
      </w:pPr>
      <w:bookmarkStart w:id="69" w:name="_Toc8883"/>
      <w:r>
        <w:rPr>
          <w:rFonts w:hint="eastAsia" w:ascii="楷体" w:hAnsi="楷体" w:eastAsia="楷体" w:cs="宋体"/>
          <w:b/>
          <w:bCs/>
          <w:sz w:val="32"/>
          <w:szCs w:val="32"/>
        </w:rPr>
        <w:t>（一）重点勘查开采矿种</w:t>
      </w:r>
      <w:bookmarkEnd w:id="69"/>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确定鼓励勘查开发锑、铁、锰、铜、铅、锌、金、锂铍等矿种。</w:t>
      </w:r>
    </w:p>
    <w:p>
      <w:pPr>
        <w:adjustRightInd w:val="0"/>
        <w:snapToGrid w:val="0"/>
        <w:spacing w:line="560" w:lineRule="exact"/>
        <w:ind w:firstLine="642" w:firstLineChars="200"/>
        <w:outlineLvl w:val="3"/>
        <w:rPr>
          <w:rFonts w:ascii="楷体" w:hAnsi="楷体" w:eastAsia="楷体" w:cs="宋体"/>
          <w:b/>
          <w:bCs/>
          <w:sz w:val="32"/>
          <w:szCs w:val="32"/>
        </w:rPr>
      </w:pPr>
      <w:bookmarkStart w:id="70" w:name="_Toc11551"/>
      <w:r>
        <w:rPr>
          <w:rFonts w:hint="eastAsia" w:ascii="楷体" w:hAnsi="楷体" w:eastAsia="楷体" w:cs="宋体"/>
          <w:b/>
          <w:bCs/>
          <w:sz w:val="32"/>
          <w:szCs w:val="32"/>
        </w:rPr>
        <w:t>（二）限制勘查矿种</w:t>
      </w:r>
      <w:bookmarkEnd w:id="70"/>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国家限制勘查的矿种。</w:t>
      </w:r>
    </w:p>
    <w:p>
      <w:pPr>
        <w:adjustRightInd w:val="0"/>
        <w:snapToGrid w:val="0"/>
        <w:spacing w:line="560" w:lineRule="exact"/>
        <w:ind w:firstLine="642" w:firstLineChars="200"/>
        <w:outlineLvl w:val="3"/>
        <w:rPr>
          <w:rFonts w:ascii="楷体" w:hAnsi="楷体" w:eastAsia="楷体" w:cs="宋体"/>
          <w:b/>
          <w:bCs/>
          <w:sz w:val="32"/>
          <w:szCs w:val="32"/>
        </w:rPr>
      </w:pPr>
      <w:bookmarkStart w:id="71" w:name="_Toc10871"/>
      <w:r>
        <w:rPr>
          <w:rFonts w:hint="eastAsia" w:ascii="楷体" w:hAnsi="楷体" w:eastAsia="楷体" w:cs="宋体"/>
          <w:b/>
          <w:bCs/>
          <w:sz w:val="32"/>
          <w:szCs w:val="32"/>
        </w:rPr>
        <w:t>（三）限制开采矿种</w:t>
      </w:r>
      <w:bookmarkEnd w:id="71"/>
    </w:p>
    <w:p>
      <w:pPr>
        <w:ind w:firstLine="560"/>
        <w:rPr>
          <w:rFonts w:ascii="仿宋_GB2312" w:hAnsi="仿宋" w:eastAsia="仿宋_GB2312" w:cs="宋体"/>
          <w:sz w:val="32"/>
          <w:szCs w:val="32"/>
        </w:rPr>
      </w:pPr>
      <w:r>
        <w:rPr>
          <w:rFonts w:hint="eastAsia" w:ascii="仿宋_GB2312" w:hAnsi="仿宋" w:eastAsia="仿宋_GB2312" w:cs="宋体"/>
          <w:sz w:val="32"/>
          <w:szCs w:val="32"/>
        </w:rPr>
        <w:t>限制开采砖瓦用粘土矿、砂金矿。</w:t>
      </w:r>
    </w:p>
    <w:p>
      <w:pPr>
        <w:adjustRightInd w:val="0"/>
        <w:snapToGrid w:val="0"/>
        <w:spacing w:line="560" w:lineRule="exact"/>
        <w:ind w:firstLine="642" w:firstLineChars="200"/>
        <w:outlineLvl w:val="3"/>
        <w:rPr>
          <w:rFonts w:ascii="楷体" w:hAnsi="楷体" w:eastAsia="楷体" w:cs="宋体"/>
          <w:b/>
          <w:bCs/>
          <w:sz w:val="32"/>
          <w:szCs w:val="32"/>
        </w:rPr>
      </w:pPr>
      <w:bookmarkStart w:id="72" w:name="_Toc15623"/>
      <w:r>
        <w:rPr>
          <w:rFonts w:hint="eastAsia" w:ascii="楷体" w:hAnsi="楷体" w:eastAsia="楷体" w:cs="宋体"/>
          <w:b/>
          <w:bCs/>
          <w:sz w:val="32"/>
          <w:szCs w:val="32"/>
        </w:rPr>
        <w:t>（四）禁止勘查开采矿种</w:t>
      </w:r>
      <w:bookmarkEnd w:id="72"/>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禁止勘查的矿种为灰分大于40%或含硫大于3%的煤以及砂铁等。</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禁止开采砷、汞和放射性等有毒有害物质、砂铁矿、含硫大于3%的煤；以及可耕地砖瓦用粘土等其他对局部地区生态环境造成重大破坏的矿种。</w:t>
      </w:r>
    </w:p>
    <w:p>
      <w:pPr>
        <w:pStyle w:val="4"/>
        <w:adjustRightInd w:val="0"/>
        <w:snapToGrid w:val="0"/>
        <w:spacing w:before="240" w:after="0" w:line="360" w:lineRule="auto"/>
        <w:jc w:val="center"/>
        <w:rPr>
          <w:rFonts w:ascii="宋体" w:hAnsi="宋体" w:cs="宋体"/>
        </w:rPr>
      </w:pPr>
      <w:bookmarkStart w:id="73" w:name="_Toc1088"/>
      <w:bookmarkStart w:id="74" w:name="_Toc8431"/>
      <w:r>
        <w:rPr>
          <w:rFonts w:hint="eastAsia" w:ascii="宋体" w:hAnsi="宋体" w:cs="宋体"/>
        </w:rPr>
        <w:t>第三节  勘查开采与保护布局</w:t>
      </w:r>
      <w:bookmarkEnd w:id="73"/>
      <w:bookmarkEnd w:id="74"/>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75" w:name="_Toc5580"/>
      <w:r>
        <w:rPr>
          <w:rFonts w:hint="eastAsia" w:ascii="黑体" w:hAnsi="黑体" w:eastAsia="黑体" w:cs="宋体"/>
          <w:color w:val="auto"/>
          <w:kern w:val="2"/>
          <w:sz w:val="32"/>
          <w:szCs w:val="32"/>
          <w:lang w:val="en-US"/>
        </w:rPr>
        <w:t>一、规划分区管理</w:t>
      </w:r>
      <w:bookmarkEnd w:id="75"/>
    </w:p>
    <w:p>
      <w:pPr>
        <w:spacing w:line="360" w:lineRule="auto"/>
        <w:ind w:firstLine="642" w:firstLineChars="200"/>
        <w:rPr>
          <w:rFonts w:ascii="仿宋_GB2312" w:hAnsi="楷体" w:eastAsia="仿宋_GB2312" w:cs="宋体"/>
          <w:b/>
          <w:sz w:val="32"/>
          <w:szCs w:val="32"/>
        </w:rPr>
      </w:pPr>
      <w:r>
        <w:rPr>
          <w:rFonts w:hint="eastAsia" w:ascii="仿宋_GB2312" w:hAnsi="楷体" w:eastAsia="仿宋_GB2312" w:cs="宋体"/>
          <w:b/>
          <w:sz w:val="32"/>
          <w:szCs w:val="32"/>
        </w:rPr>
        <w:t>1.重点勘查区</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从落实、分解、细化上级规划涉及本行政区内容出发，积极配合上级规划设置的项目的开展，重点开展地质矿产调查评价、地质环境调查评价，在重点勘查区内进一步查明相关矿种资源潜力，力争实现找矿新突破。</w:t>
      </w:r>
    </w:p>
    <w:p>
      <w:pPr>
        <w:keepNext/>
        <w:spacing w:line="360" w:lineRule="auto"/>
        <w:ind w:firstLine="560"/>
        <w:jc w:val="left"/>
        <w:rPr>
          <w:rFonts w:ascii="仿宋_GB2312" w:hAnsi="仿宋" w:eastAsia="仿宋_GB2312"/>
          <w:sz w:val="32"/>
          <w:szCs w:val="32"/>
        </w:rPr>
      </w:pPr>
      <w:r>
        <w:rPr>
          <w:rFonts w:hint="eastAsia" w:ascii="仿宋_GB2312" w:hAnsi="仿宋" w:eastAsia="仿宋_GB2312" w:cs="宋体"/>
          <w:sz w:val="32"/>
          <w:szCs w:val="32"/>
        </w:rPr>
        <w:t>本县落实细化上级规划部署重点勘查区共4个，其中国家级重点勘查区2个，分别是民丰县黄羊岭锑矿重点勘查区、民丰县半山湖锑矿重点勘查区；地区级重点勘查区2个，分别是民丰县卧龙岗一带锑矿重点勘查区、民丰县前进达坂一带锑矿重点勘查区（专栏3-1）。</w:t>
      </w:r>
    </w:p>
    <w:p>
      <w:pPr>
        <w:spacing w:line="360" w:lineRule="auto"/>
        <w:ind w:firstLine="642" w:firstLineChars="200"/>
        <w:rPr>
          <w:rFonts w:ascii="仿宋_GB2312" w:hAnsi="楷体" w:eastAsia="仿宋_GB2312" w:cs="宋体"/>
          <w:b/>
          <w:sz w:val="32"/>
          <w:szCs w:val="32"/>
        </w:rPr>
      </w:pPr>
      <w:r>
        <w:rPr>
          <w:rFonts w:hint="eastAsia" w:ascii="仿宋_GB2312" w:hAnsi="楷体" w:eastAsia="仿宋_GB2312" w:cs="宋体"/>
          <w:b/>
          <w:sz w:val="32"/>
          <w:szCs w:val="32"/>
        </w:rPr>
        <w:t>2．重点开采区</w:t>
      </w:r>
    </w:p>
    <w:p>
      <w:pPr>
        <w:spacing w:line="520" w:lineRule="exact"/>
        <w:ind w:firstLine="560"/>
        <w:rPr>
          <w:rFonts w:ascii="仿宋_GB2312" w:hAnsi="仿宋" w:eastAsia="仿宋_GB2312" w:cs="宋体"/>
          <w:sz w:val="32"/>
          <w:szCs w:val="32"/>
        </w:rPr>
      </w:pPr>
      <w:r>
        <w:rPr>
          <w:rFonts w:hint="eastAsia" w:ascii="仿宋_GB2312" w:hAnsi="仿宋" w:eastAsia="仿宋_GB2312" w:cs="宋体"/>
          <w:sz w:val="32"/>
          <w:szCs w:val="32"/>
        </w:rPr>
        <w:t>根据全县已查明矿产资源赋存情况，结合现今民丰县的城镇化建设情况，综合考虑县域内矿产地集中地区作为重点开采区。按照自治区规划、地区规划部署要求，设置地区级重点开采区1个，为民丰黄羊岭锑金矿重点开采区，面积37.8平方千米，重点开采矿种：锑、金，锑金属资源量0.57万吨。规划期拟设采矿权5个。</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加大重点矿区开发力度，鼓励矿山企业依法集约规模开采，扩大产能，提高开发利用水平；对区内已有低水平开发企业采用政府引导，企业运作等市场方式进行整合；提高“三率”达标率，加强综合开发利用，实施开发中保护的方针，建设绿色矿山。</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76" w:name="_Toc16305"/>
      <w:r>
        <w:rPr>
          <w:rFonts w:hint="eastAsia" w:ascii="黑体" w:hAnsi="黑体" w:eastAsia="黑体" w:cs="宋体"/>
          <w:color w:val="auto"/>
          <w:kern w:val="2"/>
          <w:sz w:val="32"/>
          <w:szCs w:val="32"/>
          <w:lang w:val="en-US"/>
        </w:rPr>
        <w:t>二、矿产资源调查评价与勘查规划</w:t>
      </w:r>
      <w:bookmarkEnd w:id="76"/>
    </w:p>
    <w:p>
      <w:pPr>
        <w:adjustRightInd w:val="0"/>
        <w:snapToGrid w:val="0"/>
        <w:spacing w:line="560" w:lineRule="exact"/>
        <w:ind w:firstLine="642" w:firstLineChars="200"/>
        <w:outlineLvl w:val="3"/>
        <w:rPr>
          <w:rFonts w:ascii="楷体" w:hAnsi="楷体" w:eastAsia="楷体" w:cs="宋体"/>
          <w:b/>
          <w:bCs/>
          <w:sz w:val="32"/>
          <w:szCs w:val="32"/>
        </w:rPr>
      </w:pPr>
      <w:bookmarkStart w:id="77" w:name="_Toc10709"/>
      <w:r>
        <w:rPr>
          <w:rFonts w:hint="eastAsia" w:ascii="楷体" w:hAnsi="楷体" w:eastAsia="楷体" w:cs="宋体"/>
          <w:b/>
          <w:bCs/>
          <w:sz w:val="32"/>
          <w:szCs w:val="32"/>
        </w:rPr>
        <w:t>（一）基础地质调查规划</w:t>
      </w:r>
      <w:bookmarkEnd w:id="77"/>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2021～2025年，自治区拟开展的基础地质调查工作为新疆民丰县巴西其其干-阔什拉什金、铁多金属成矿带1:5万航磁异常查证，新增工作面积1000平方千米，占全县面积的1.7%。</w:t>
      </w:r>
    </w:p>
    <w:p>
      <w:pPr>
        <w:adjustRightInd w:val="0"/>
        <w:snapToGrid w:val="0"/>
        <w:spacing w:line="560" w:lineRule="exact"/>
        <w:ind w:firstLine="642" w:firstLineChars="200"/>
        <w:outlineLvl w:val="3"/>
        <w:rPr>
          <w:rFonts w:ascii="楷体" w:hAnsi="楷体" w:eastAsia="楷体" w:cs="宋体"/>
          <w:b/>
          <w:bCs/>
          <w:sz w:val="32"/>
          <w:szCs w:val="32"/>
        </w:rPr>
      </w:pPr>
      <w:bookmarkStart w:id="78" w:name="_Toc27044"/>
      <w:r>
        <w:rPr>
          <w:rFonts w:hint="eastAsia" w:ascii="楷体" w:hAnsi="楷体" w:eastAsia="楷体" w:cs="宋体"/>
          <w:b/>
          <w:bCs/>
          <w:sz w:val="32"/>
          <w:szCs w:val="32"/>
        </w:rPr>
        <w:t>（二）矿产资源勘查规划</w:t>
      </w:r>
      <w:bookmarkEnd w:id="78"/>
    </w:p>
    <w:p>
      <w:pPr>
        <w:keepNext/>
        <w:spacing w:line="360" w:lineRule="auto"/>
        <w:ind w:firstLine="560"/>
        <w:jc w:val="left"/>
        <w:rPr>
          <w:rFonts w:ascii="仿宋_GB2312" w:hAnsi="仿宋" w:eastAsia="仿宋_GB2312" w:cs="宋体"/>
          <w:sz w:val="32"/>
          <w:szCs w:val="32"/>
        </w:rPr>
      </w:pPr>
      <w:r>
        <w:rPr>
          <w:rFonts w:hint="eastAsia" w:ascii="仿宋_GB2312" w:hAnsi="仿宋" w:eastAsia="仿宋_GB2312" w:cs="宋体"/>
          <w:sz w:val="32"/>
          <w:szCs w:val="32"/>
        </w:rPr>
        <w:t>本次规划落实细化上级规划部署重点勘查区4个，其中国家级2个，地区级2个（专栏3-1）：</w:t>
      </w:r>
    </w:p>
    <w:p>
      <w:pPr>
        <w:keepNext/>
        <w:spacing w:line="360" w:lineRule="auto"/>
        <w:ind w:firstLine="560"/>
        <w:jc w:val="left"/>
        <w:rPr>
          <w:rFonts w:ascii="楷体" w:hAnsi="楷体" w:eastAsia="楷体" w:cs="宋体"/>
          <w:b/>
          <w:szCs w:val="21"/>
        </w:rPr>
      </w:pPr>
      <w:r>
        <w:rPr>
          <w:rFonts w:hint="eastAsia" w:ascii="楷体" w:hAnsi="楷体" w:eastAsia="楷体" w:cs="宋体"/>
          <w:b/>
          <w:szCs w:val="21"/>
        </w:rPr>
        <w:t>专栏3-1                 民丰县重点勘查规划区设置情况表</w:t>
      </w:r>
    </w:p>
    <w:tbl>
      <w:tblPr>
        <w:tblStyle w:val="27"/>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600"/>
        <w:gridCol w:w="1725"/>
        <w:gridCol w:w="1125"/>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设置级别</w:t>
            </w:r>
          </w:p>
        </w:tc>
        <w:tc>
          <w:tcPr>
            <w:tcW w:w="3600"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名  称</w:t>
            </w:r>
          </w:p>
        </w:tc>
        <w:tc>
          <w:tcPr>
            <w:tcW w:w="17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面积（平方千米）</w:t>
            </w:r>
          </w:p>
        </w:tc>
        <w:tc>
          <w:tcPr>
            <w:tcW w:w="11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已设探矿权（个）</w:t>
            </w:r>
          </w:p>
        </w:tc>
        <w:tc>
          <w:tcPr>
            <w:tcW w:w="1634"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规划期拟设探矿权（个）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restart"/>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国家级</w:t>
            </w:r>
          </w:p>
        </w:tc>
        <w:tc>
          <w:tcPr>
            <w:tcW w:w="3600"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民丰黄羊岭锑矿重点勘查区</w:t>
            </w:r>
          </w:p>
        </w:tc>
        <w:tc>
          <w:tcPr>
            <w:tcW w:w="17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267.9</w:t>
            </w:r>
          </w:p>
        </w:tc>
        <w:tc>
          <w:tcPr>
            <w:tcW w:w="11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24</w:t>
            </w:r>
          </w:p>
        </w:tc>
        <w:tc>
          <w:tcPr>
            <w:tcW w:w="1634"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94" w:type="dxa"/>
            <w:vMerge w:val="continue"/>
            <w:shd w:val="clear" w:color="auto" w:fill="auto"/>
            <w:vAlign w:val="center"/>
          </w:tcPr>
          <w:p>
            <w:pPr>
              <w:keepNext/>
              <w:spacing w:line="360" w:lineRule="auto"/>
              <w:jc w:val="center"/>
              <w:rPr>
                <w:rFonts w:ascii="宋体" w:hAnsi="宋体" w:cs="宋体"/>
                <w:szCs w:val="21"/>
              </w:rPr>
            </w:pPr>
          </w:p>
        </w:tc>
        <w:tc>
          <w:tcPr>
            <w:tcW w:w="3600" w:type="dxa"/>
            <w:shd w:val="clear" w:color="auto" w:fill="auto"/>
            <w:vAlign w:val="center"/>
          </w:tcPr>
          <w:p>
            <w:pPr>
              <w:pStyle w:val="39"/>
              <w:spacing w:before="31" w:beforeLines="10" w:after="31" w:afterLines="10" w:line="360" w:lineRule="exact"/>
              <w:jc w:val="center"/>
              <w:rPr>
                <w:rFonts w:hAnsi="宋体"/>
                <w:sz w:val="21"/>
                <w:szCs w:val="21"/>
              </w:rPr>
            </w:pPr>
            <w:r>
              <w:rPr>
                <w:rFonts w:hint="eastAsia" w:hAnsi="宋体"/>
                <w:sz w:val="21"/>
                <w:szCs w:val="21"/>
              </w:rPr>
              <w:t>民丰半山湖锑多金属矿重点勘查区</w:t>
            </w:r>
          </w:p>
        </w:tc>
        <w:tc>
          <w:tcPr>
            <w:tcW w:w="17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267.6</w:t>
            </w:r>
          </w:p>
        </w:tc>
        <w:tc>
          <w:tcPr>
            <w:tcW w:w="11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6</w:t>
            </w:r>
          </w:p>
        </w:tc>
        <w:tc>
          <w:tcPr>
            <w:tcW w:w="1634"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restart"/>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地区级</w:t>
            </w:r>
          </w:p>
        </w:tc>
        <w:tc>
          <w:tcPr>
            <w:tcW w:w="3600"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民丰县卧龙岗一带锑矿重点勘查区</w:t>
            </w:r>
          </w:p>
        </w:tc>
        <w:tc>
          <w:tcPr>
            <w:tcW w:w="17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114.9</w:t>
            </w:r>
          </w:p>
        </w:tc>
        <w:tc>
          <w:tcPr>
            <w:tcW w:w="11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0</w:t>
            </w:r>
          </w:p>
        </w:tc>
        <w:tc>
          <w:tcPr>
            <w:tcW w:w="1634"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vMerge w:val="continue"/>
            <w:shd w:val="clear" w:color="auto" w:fill="auto"/>
            <w:vAlign w:val="center"/>
          </w:tcPr>
          <w:p>
            <w:pPr>
              <w:keepNext/>
              <w:spacing w:line="360" w:lineRule="auto"/>
              <w:jc w:val="center"/>
              <w:rPr>
                <w:rFonts w:ascii="宋体" w:hAnsi="宋体" w:cs="宋体"/>
                <w:szCs w:val="21"/>
              </w:rPr>
            </w:pPr>
          </w:p>
        </w:tc>
        <w:tc>
          <w:tcPr>
            <w:tcW w:w="3600"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民丰县前进达坂一带锑矿重点勘查区</w:t>
            </w:r>
          </w:p>
        </w:tc>
        <w:tc>
          <w:tcPr>
            <w:tcW w:w="17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72.7</w:t>
            </w:r>
          </w:p>
        </w:tc>
        <w:tc>
          <w:tcPr>
            <w:tcW w:w="11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0</w:t>
            </w:r>
          </w:p>
        </w:tc>
        <w:tc>
          <w:tcPr>
            <w:tcW w:w="1634"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pPr>
              <w:keepNext/>
              <w:spacing w:line="360" w:lineRule="auto"/>
              <w:jc w:val="center"/>
              <w:rPr>
                <w:rFonts w:ascii="宋体" w:hAnsi="宋体" w:cs="宋体"/>
                <w:szCs w:val="21"/>
              </w:rPr>
            </w:pPr>
            <w:bookmarkStart w:id="79" w:name="_Toc20086"/>
          </w:p>
        </w:tc>
        <w:tc>
          <w:tcPr>
            <w:tcW w:w="3600"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合  计</w:t>
            </w:r>
          </w:p>
        </w:tc>
        <w:tc>
          <w:tcPr>
            <w:tcW w:w="1725" w:type="dxa"/>
            <w:shd w:val="clear" w:color="auto" w:fill="auto"/>
            <w:vAlign w:val="center"/>
          </w:tcPr>
          <w:p>
            <w:pPr>
              <w:keepNext/>
              <w:spacing w:line="360" w:lineRule="auto"/>
              <w:jc w:val="center"/>
              <w:rPr>
                <w:rFonts w:ascii="宋体" w:hAnsi="宋体" w:cs="宋体"/>
                <w:szCs w:val="21"/>
              </w:rPr>
            </w:pPr>
          </w:p>
        </w:tc>
        <w:tc>
          <w:tcPr>
            <w:tcW w:w="1125"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30</w:t>
            </w:r>
          </w:p>
        </w:tc>
        <w:tc>
          <w:tcPr>
            <w:tcW w:w="1634" w:type="dxa"/>
            <w:shd w:val="clear" w:color="auto" w:fill="auto"/>
            <w:vAlign w:val="center"/>
          </w:tcPr>
          <w:p>
            <w:pPr>
              <w:keepNext/>
              <w:spacing w:line="360" w:lineRule="auto"/>
              <w:jc w:val="center"/>
              <w:rPr>
                <w:rFonts w:ascii="宋体" w:hAnsi="宋体" w:cs="宋体"/>
                <w:szCs w:val="21"/>
              </w:rPr>
            </w:pPr>
            <w:r>
              <w:rPr>
                <w:rFonts w:hint="eastAsia" w:ascii="宋体" w:hAnsi="宋体" w:cs="宋体"/>
                <w:szCs w:val="21"/>
              </w:rPr>
              <w:t>34</w:t>
            </w:r>
          </w:p>
        </w:tc>
      </w:tr>
    </w:tbl>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（三）勘查区规划</w:t>
      </w:r>
      <w:bookmarkEnd w:id="79"/>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严格落实上级规划在民丰县境内的勘查规划区块。民丰县境内设置了第一类、第二类矿产资源勘查区块共233块，均为自治区、地区规划设置，其中金属矿产勘查规划区块228个，勘查矿种为金矿、锑矿、铅矿、铜矿、汞矿、锰矿、铁矿、银矿。非金属矿产区块5个，勘查矿种为温石棉、建筑用闪长岩、云母矿（专栏3-2）。</w:t>
      </w:r>
    </w:p>
    <w:tbl>
      <w:tblPr>
        <w:tblStyle w:val="27"/>
        <w:tblW w:w="6983" w:type="dxa"/>
        <w:jc w:val="center"/>
        <w:tblLayout w:type="fixed"/>
        <w:tblCellMar>
          <w:top w:w="15" w:type="dxa"/>
          <w:left w:w="15" w:type="dxa"/>
          <w:bottom w:w="15" w:type="dxa"/>
          <w:right w:w="15" w:type="dxa"/>
        </w:tblCellMar>
      </w:tblPr>
      <w:tblGrid>
        <w:gridCol w:w="1982"/>
        <w:gridCol w:w="2388"/>
        <w:gridCol w:w="2613"/>
      </w:tblGrid>
      <w:tr>
        <w:tblPrEx>
          <w:tblCellMar>
            <w:top w:w="15" w:type="dxa"/>
            <w:left w:w="15" w:type="dxa"/>
            <w:bottom w:w="15" w:type="dxa"/>
            <w:right w:w="15" w:type="dxa"/>
          </w:tblCellMar>
        </w:tblPrEx>
        <w:trPr>
          <w:trHeight w:val="283" w:hRule="atLeast"/>
          <w:jc w:val="center"/>
        </w:trPr>
        <w:tc>
          <w:tcPr>
            <w:tcW w:w="6983" w:type="dxa"/>
            <w:gridSpan w:val="3"/>
            <w:vAlign w:val="bottom"/>
          </w:tcPr>
          <w:p>
            <w:pPr>
              <w:pStyle w:val="2"/>
              <w:rPr>
                <w:rFonts w:ascii="楷体" w:hAnsi="楷体" w:eastAsia="楷体" w:cs="宋体"/>
                <w:sz w:val="21"/>
                <w:szCs w:val="21"/>
              </w:rPr>
            </w:pPr>
            <w:r>
              <w:rPr>
                <w:rFonts w:hint="eastAsia" w:ascii="楷体" w:hAnsi="楷体" w:eastAsia="楷体" w:cs="宋体"/>
                <w:b/>
                <w:bCs/>
                <w:sz w:val="21"/>
                <w:szCs w:val="21"/>
              </w:rPr>
              <w:t>专栏3-2          民丰县勘查规划区块设置矿种一览表</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序号</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矿种</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数量（个）</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汞矿</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2</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2</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金矿</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3</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锰矿</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4</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铅矿</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40</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5</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锑矿</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29</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6</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铁矿</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3</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7</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铜矿</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151</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8</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银矿</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9</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温石棉</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10</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云母</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11</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建筑用闪长岩</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3</w:t>
            </w:r>
          </w:p>
        </w:tc>
      </w:tr>
      <w:tr>
        <w:tblPrEx>
          <w:tblCellMar>
            <w:top w:w="15" w:type="dxa"/>
            <w:left w:w="15" w:type="dxa"/>
            <w:bottom w:w="15" w:type="dxa"/>
            <w:right w:w="15" w:type="dxa"/>
          </w:tblCellMar>
        </w:tblPrEx>
        <w:trPr>
          <w:trHeight w:val="283" w:hRule="atLeast"/>
          <w:jc w:val="center"/>
        </w:trPr>
        <w:tc>
          <w:tcPr>
            <w:tcW w:w="1982"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12</w:t>
            </w:r>
          </w:p>
        </w:tc>
        <w:tc>
          <w:tcPr>
            <w:tcW w:w="2388"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合计</w:t>
            </w:r>
          </w:p>
        </w:tc>
        <w:tc>
          <w:tcPr>
            <w:tcW w:w="2613" w:type="dxa"/>
            <w:tcBorders>
              <w:top w:val="single" w:color="000000" w:sz="4" w:space="0"/>
              <w:left w:val="single" w:color="000000" w:sz="4" w:space="0"/>
              <w:bottom w:val="single" w:color="000000" w:sz="4" w:space="0"/>
              <w:right w:val="single" w:color="000000" w:sz="4" w:space="0"/>
            </w:tcBorders>
            <w:vAlign w:val="bottom"/>
          </w:tcPr>
          <w:p>
            <w:pPr>
              <w:pStyle w:val="2"/>
              <w:jc w:val="center"/>
              <w:rPr>
                <w:rFonts w:cs="宋体"/>
                <w:sz w:val="21"/>
                <w:szCs w:val="21"/>
              </w:rPr>
            </w:pPr>
            <w:r>
              <w:rPr>
                <w:rFonts w:hint="eastAsia" w:cs="宋体"/>
                <w:sz w:val="21"/>
                <w:szCs w:val="21"/>
              </w:rPr>
              <w:t>233</w:t>
            </w:r>
          </w:p>
        </w:tc>
      </w:tr>
    </w:tbl>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80" w:name="_Toc5747"/>
      <w:r>
        <w:rPr>
          <w:rFonts w:hint="eastAsia" w:ascii="黑体" w:hAnsi="黑体" w:eastAsia="黑体" w:cs="宋体"/>
          <w:color w:val="auto"/>
          <w:kern w:val="2"/>
          <w:sz w:val="32"/>
          <w:szCs w:val="32"/>
          <w:lang w:val="en-US"/>
        </w:rPr>
        <w:t>三、开采规划分区</w:t>
      </w:r>
      <w:bookmarkEnd w:id="80"/>
    </w:p>
    <w:p>
      <w:pPr>
        <w:adjustRightInd w:val="0"/>
        <w:snapToGrid w:val="0"/>
        <w:spacing w:line="560" w:lineRule="exact"/>
        <w:ind w:firstLine="642" w:firstLineChars="200"/>
        <w:outlineLvl w:val="3"/>
        <w:rPr>
          <w:rFonts w:ascii="楷体" w:hAnsi="楷体" w:eastAsia="楷体" w:cs="宋体"/>
          <w:b/>
          <w:bCs/>
          <w:sz w:val="32"/>
          <w:szCs w:val="32"/>
        </w:rPr>
      </w:pPr>
      <w:bookmarkStart w:id="81" w:name="_Toc29075"/>
      <w:r>
        <w:rPr>
          <w:rFonts w:hint="eastAsia" w:ascii="楷体" w:hAnsi="楷体" w:eastAsia="楷体" w:cs="宋体"/>
          <w:b/>
          <w:bCs/>
          <w:sz w:val="32"/>
          <w:szCs w:val="32"/>
        </w:rPr>
        <w:t>（一）重点开采区</w:t>
      </w:r>
      <w:bookmarkEnd w:id="81"/>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民丰县境内地区规划设置地区级重点开采区一个，为黄羊岭锑金矿重点开采区，面积37.8平方千米，重点开采矿种：锑、金，锑资源量0.57万吨。规划期拟设采矿权5个。</w:t>
      </w:r>
    </w:p>
    <w:p>
      <w:pPr>
        <w:numPr>
          <w:ilvl w:val="0"/>
          <w:numId w:val="2"/>
        </w:numPr>
        <w:adjustRightInd w:val="0"/>
        <w:snapToGrid w:val="0"/>
        <w:spacing w:line="560" w:lineRule="exact"/>
        <w:ind w:firstLine="642" w:firstLineChars="200"/>
        <w:outlineLvl w:val="3"/>
        <w:rPr>
          <w:rFonts w:ascii="楷体" w:hAnsi="楷体" w:eastAsia="楷体" w:cs="宋体"/>
          <w:b/>
          <w:bCs/>
          <w:sz w:val="32"/>
          <w:szCs w:val="32"/>
        </w:rPr>
      </w:pPr>
      <w:bookmarkStart w:id="82" w:name="_Toc17309"/>
      <w:r>
        <w:rPr>
          <w:rFonts w:hint="eastAsia" w:ascii="楷体" w:hAnsi="楷体" w:eastAsia="楷体" w:cs="宋体"/>
          <w:b/>
          <w:bCs/>
          <w:sz w:val="32"/>
          <w:szCs w:val="32"/>
        </w:rPr>
        <w:t>砂石土类集中开采区</w:t>
      </w:r>
      <w:bookmarkEnd w:id="82"/>
    </w:p>
    <w:p>
      <w:pPr>
        <w:adjustRightInd w:val="0"/>
        <w:snapToGrid w:val="0"/>
        <w:spacing w:line="560" w:lineRule="exact"/>
        <w:ind w:firstLine="640" w:firstLineChars="200"/>
      </w:pPr>
      <w:r>
        <w:rPr>
          <w:rFonts w:hint="eastAsia" w:ascii="仿宋_GB2312" w:hAnsi="仿宋" w:eastAsia="仿宋_GB2312" w:cs="宋体"/>
          <w:sz w:val="32"/>
          <w:szCs w:val="32"/>
        </w:rPr>
        <w:t>民丰县境内县级设置砂石土类集中开采区8处，如下表所示：</w:t>
      </w:r>
    </w:p>
    <w:p>
      <w:pPr>
        <w:adjustRightInd w:val="0"/>
        <w:snapToGrid w:val="0"/>
        <w:spacing w:line="560" w:lineRule="exact"/>
        <w:outlineLvl w:val="3"/>
        <w:rPr>
          <w:rFonts w:ascii="楷体" w:hAnsi="楷体" w:eastAsia="楷体" w:cs="宋体"/>
          <w:b/>
          <w:bCs/>
          <w:szCs w:val="21"/>
        </w:rPr>
      </w:pPr>
      <w:r>
        <w:rPr>
          <w:rFonts w:hint="eastAsia" w:ascii="楷体" w:hAnsi="楷体" w:eastAsia="楷体" w:cs="宋体"/>
          <w:b/>
          <w:bCs/>
          <w:szCs w:val="21"/>
        </w:rPr>
        <w:t>专栏3-2                   民丰县砂石土类集中开采区规划表</w:t>
      </w:r>
    </w:p>
    <w:tbl>
      <w:tblPr>
        <w:tblStyle w:val="27"/>
        <w:tblW w:w="9521" w:type="dxa"/>
        <w:tblInd w:w="0" w:type="dxa"/>
        <w:tblLayout w:type="fixed"/>
        <w:tblCellMar>
          <w:top w:w="15" w:type="dxa"/>
          <w:left w:w="15" w:type="dxa"/>
          <w:bottom w:w="15" w:type="dxa"/>
          <w:right w:w="15" w:type="dxa"/>
        </w:tblCellMar>
      </w:tblPr>
      <w:tblGrid>
        <w:gridCol w:w="1079"/>
        <w:gridCol w:w="1079"/>
        <w:gridCol w:w="4378"/>
        <w:gridCol w:w="1364"/>
        <w:gridCol w:w="869"/>
        <w:gridCol w:w="752"/>
      </w:tblGrid>
      <w:tr>
        <w:tblPrEx>
          <w:tblCellMar>
            <w:top w:w="15" w:type="dxa"/>
            <w:left w:w="15" w:type="dxa"/>
            <w:bottom w:w="15" w:type="dxa"/>
            <w:right w:w="15" w:type="dxa"/>
          </w:tblCellMar>
        </w:tblPrEx>
        <w:trPr>
          <w:trHeight w:val="84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图面编号</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名    称</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面积（km</w:t>
            </w:r>
            <w:r>
              <w:rPr>
                <w:rStyle w:val="76"/>
                <w:rFonts w:hint="default"/>
                <w:color w:val="auto"/>
                <w:sz w:val="21"/>
                <w:szCs w:val="21"/>
              </w:rPr>
              <w:t>2</w:t>
            </w:r>
            <w:r>
              <w:rPr>
                <w:rStyle w:val="77"/>
                <w:rFonts w:hint="default"/>
                <w:color w:val="auto"/>
                <w:sz w:val="21"/>
                <w:szCs w:val="21"/>
              </w:rPr>
              <w:t>)</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已设采矿权（个）</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拟设采矿权（个）</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CSJ001</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尼雅乡砂石土类集中开采一区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 xml:space="preserve">4.00 </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CSJ004</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若克雅乡砂石土类集中开采一区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 xml:space="preserve">11.66 </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CSJ005</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叶亦克乡砂石土类集中开采区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 xml:space="preserve">2.10 </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CSJ006</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若克雅乡砂石土类集中开采二区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 xml:space="preserve">13.67 </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CSJ007</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若克雅乡砂石土类集中开采三区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 xml:space="preserve">2.26 </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CSJ009</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萨勒吾则克乡砂石土类集中开采一区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 xml:space="preserve">14.39 </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7</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CSJ013</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萨勒吾则克乡砂石土类集中开采二区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 xml:space="preserve">11.27 </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CSJ016</w:t>
            </w:r>
          </w:p>
        </w:tc>
        <w:tc>
          <w:tcPr>
            <w:tcW w:w="43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萨勒吾则克乡砂石土类集中开采三区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 xml:space="preserve">2.52 </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15" w:type="dxa"/>
            <w:left w:w="15" w:type="dxa"/>
            <w:bottom w:w="15" w:type="dxa"/>
            <w:right w:w="15"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9</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合计</w:t>
            </w:r>
          </w:p>
        </w:tc>
        <w:tc>
          <w:tcPr>
            <w:tcW w:w="43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15</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w:t>
            </w:r>
          </w:p>
        </w:tc>
      </w:tr>
    </w:tbl>
    <w:p>
      <w:pPr>
        <w:adjustRightInd w:val="0"/>
        <w:snapToGrid w:val="0"/>
        <w:spacing w:line="560" w:lineRule="exact"/>
        <w:ind w:firstLine="642" w:firstLineChars="200"/>
        <w:outlineLvl w:val="3"/>
        <w:rPr>
          <w:rFonts w:ascii="楷体" w:hAnsi="楷体" w:eastAsia="楷体" w:cs="宋体"/>
          <w:b/>
          <w:bCs/>
          <w:sz w:val="32"/>
          <w:szCs w:val="32"/>
        </w:rPr>
      </w:pPr>
      <w:bookmarkStart w:id="83" w:name="_Toc27954"/>
      <w:r>
        <w:rPr>
          <w:rFonts w:hint="eastAsia" w:ascii="楷体" w:hAnsi="楷体" w:eastAsia="楷体" w:cs="宋体"/>
          <w:b/>
          <w:bCs/>
          <w:sz w:val="32"/>
          <w:szCs w:val="32"/>
        </w:rPr>
        <w:t>（三）开采区块规划</w:t>
      </w:r>
      <w:bookmarkEnd w:id="83"/>
    </w:p>
    <w:p>
      <w:pPr>
        <w:adjustRightInd w:val="0"/>
        <w:snapToGrid w:val="0"/>
        <w:spacing w:line="560" w:lineRule="exact"/>
        <w:ind w:firstLine="640" w:firstLineChars="200"/>
        <w:rPr>
          <w:rFonts w:ascii="仿宋_GB2312" w:hAnsi="仿宋" w:eastAsia="仿宋_GB2312" w:cs="宋体"/>
          <w:bCs/>
          <w:sz w:val="32"/>
          <w:szCs w:val="32"/>
        </w:rPr>
      </w:pPr>
      <w:bookmarkStart w:id="173" w:name="_GoBack"/>
      <w:bookmarkEnd w:id="173"/>
      <w:r>
        <w:rPr>
          <w:rFonts w:hint="eastAsia" w:ascii="仿宋_GB2312" w:hAnsi="仿宋" w:eastAsia="仿宋_GB2312" w:cs="宋体"/>
          <w:bCs/>
          <w:sz w:val="32"/>
          <w:szCs w:val="32"/>
        </w:rPr>
        <w:t>“十四五”规划期间，规划开采区块20个，一类矿种12个，开采矿种为有色金属；二类矿种8个，开采矿种为闪长岩，均为自治区、地区规划设置；三类矿种规划开采区为县级设置，拟通过现有采矿权到期注销、小型矿山合并重组，缩减矿山数量，扩大单个矿山开采建设规模，至规划期末矿山数量减少到8个，年开采总量达到80万立方米（专栏3-3）。</w:t>
      </w:r>
    </w:p>
    <w:p>
      <w:pPr>
        <w:adjustRightInd w:val="0"/>
        <w:snapToGrid w:val="0"/>
        <w:spacing w:line="560" w:lineRule="exact"/>
        <w:ind w:firstLine="632" w:firstLineChars="300"/>
        <w:rPr>
          <w:rFonts w:ascii="楷体" w:hAnsi="楷体" w:eastAsia="楷体" w:cs="宋体"/>
          <w:b/>
          <w:bCs/>
          <w:szCs w:val="21"/>
        </w:rPr>
      </w:pPr>
      <w:r>
        <w:rPr>
          <w:rFonts w:hint="eastAsia" w:ascii="楷体" w:hAnsi="楷体" w:eastAsia="楷体" w:cs="宋体"/>
          <w:b/>
          <w:bCs/>
          <w:szCs w:val="21"/>
        </w:rPr>
        <w:t>专栏3-3             民丰县十四五期间开采区块规划表</w:t>
      </w:r>
    </w:p>
    <w:tbl>
      <w:tblPr>
        <w:tblStyle w:val="27"/>
        <w:tblW w:w="7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2006"/>
        <w:gridCol w:w="1619"/>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2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矿种分类</w:t>
            </w:r>
          </w:p>
        </w:tc>
        <w:tc>
          <w:tcPr>
            <w:tcW w:w="2006"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2020年末已设采矿权数量（个）</w:t>
            </w:r>
          </w:p>
        </w:tc>
        <w:tc>
          <w:tcPr>
            <w:tcW w:w="161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拟设采矿权数量（个）</w:t>
            </w:r>
          </w:p>
        </w:tc>
        <w:tc>
          <w:tcPr>
            <w:tcW w:w="216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规划2025年末采矿权数量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2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一类</w:t>
            </w:r>
          </w:p>
        </w:tc>
        <w:tc>
          <w:tcPr>
            <w:tcW w:w="2006"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2</w:t>
            </w:r>
          </w:p>
        </w:tc>
        <w:tc>
          <w:tcPr>
            <w:tcW w:w="161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10</w:t>
            </w:r>
          </w:p>
        </w:tc>
        <w:tc>
          <w:tcPr>
            <w:tcW w:w="216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2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二类</w:t>
            </w:r>
          </w:p>
        </w:tc>
        <w:tc>
          <w:tcPr>
            <w:tcW w:w="2006"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1</w:t>
            </w:r>
          </w:p>
        </w:tc>
        <w:tc>
          <w:tcPr>
            <w:tcW w:w="161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8</w:t>
            </w:r>
          </w:p>
        </w:tc>
        <w:tc>
          <w:tcPr>
            <w:tcW w:w="216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2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三类</w:t>
            </w:r>
          </w:p>
        </w:tc>
        <w:tc>
          <w:tcPr>
            <w:tcW w:w="2006"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25</w:t>
            </w:r>
          </w:p>
        </w:tc>
        <w:tc>
          <w:tcPr>
            <w:tcW w:w="161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4</w:t>
            </w:r>
          </w:p>
        </w:tc>
        <w:tc>
          <w:tcPr>
            <w:tcW w:w="216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82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合计</w:t>
            </w:r>
          </w:p>
        </w:tc>
        <w:tc>
          <w:tcPr>
            <w:tcW w:w="2006"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28</w:t>
            </w:r>
          </w:p>
        </w:tc>
        <w:tc>
          <w:tcPr>
            <w:tcW w:w="161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22</w:t>
            </w:r>
          </w:p>
        </w:tc>
        <w:tc>
          <w:tcPr>
            <w:tcW w:w="2169" w:type="dxa"/>
            <w:shd w:val="clear" w:color="auto" w:fill="auto"/>
          </w:tcPr>
          <w:p>
            <w:pPr>
              <w:widowControl/>
              <w:adjustRightInd w:val="0"/>
              <w:snapToGrid w:val="0"/>
              <w:spacing w:line="560" w:lineRule="exact"/>
              <w:jc w:val="center"/>
              <w:rPr>
                <w:rFonts w:ascii="宋体" w:hAnsi="宋体" w:cs="宋体"/>
                <w:szCs w:val="21"/>
              </w:rPr>
            </w:pPr>
            <w:r>
              <w:rPr>
                <w:rFonts w:hint="eastAsia" w:ascii="宋体" w:hAnsi="宋体" w:cs="宋体"/>
                <w:szCs w:val="21"/>
              </w:rPr>
              <w:t>29</w:t>
            </w:r>
          </w:p>
        </w:tc>
      </w:tr>
    </w:tbl>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r>
        <w:rPr>
          <w:rFonts w:hint="eastAsia" w:ascii="黑体" w:hAnsi="黑体" w:eastAsia="黑体" w:cs="宋体"/>
          <w:color w:val="auto"/>
          <w:kern w:val="2"/>
          <w:sz w:val="32"/>
          <w:szCs w:val="32"/>
          <w:lang w:val="en-US"/>
        </w:rPr>
        <w:t>四、勘查开发监督管理措施</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全面落实监管职责，切实加强探矿权的审查核实，加强采矿权的准入管理，依据本次所划定的开采区块中所确定的开采规模、开采年限等准入条件，促使矿业权人依法勘查、开发利用矿产资源。</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按照自然资源部、自治区自然资源厅关于建立健全矿业权有形市场的通知要求，不断强化全县矿业权有形市场建设，全面规范矿业权出让转让行为，严格执行全自治区统一的矿业权有形市场，推进探矿权采矿权以招标拍卖挂牌方式公开出让，新设采矿权一律采用招、拍、挂方式授予；依法打击非法转让矿权和侵害矿业权人合法权益的行为，维护矿业权市场秩序。通过矿业权的有偿化处置来促使矿山企业珍惜资源，综合利用高、中、低品位矿产，促进矿产资源节约和集约利用。同时建立矿山地质环境恢复治理基金制度，加大对矿山地质环境的治理修复力度。</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严格控制县级发证采矿权总数，原则上只减不增。在不超过规划采矿权控制总数的前提下，可对自治区、自治州、县级矿权数量进行适当调整。</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加强矿产资源储量三级管理体制和机制的完善，建立矿山储量动态监测管理系统，将成果应用于矿权管理中，切实加强矿产资源开发监督。</w:t>
      </w:r>
    </w:p>
    <w:p>
      <w:pPr>
        <w:pStyle w:val="4"/>
        <w:adjustRightInd w:val="0"/>
        <w:snapToGrid w:val="0"/>
        <w:spacing w:before="240" w:after="0" w:line="360" w:lineRule="auto"/>
        <w:jc w:val="center"/>
        <w:rPr>
          <w:rFonts w:ascii="宋体" w:hAnsi="宋体" w:cs="宋体"/>
        </w:rPr>
      </w:pPr>
      <w:bookmarkStart w:id="84" w:name="_Toc29578"/>
      <w:bookmarkStart w:id="85" w:name="_Toc74051382"/>
      <w:bookmarkStart w:id="86" w:name="_Toc4503"/>
      <w:bookmarkStart w:id="87" w:name="_Toc73527586"/>
      <w:r>
        <w:rPr>
          <w:rFonts w:hint="eastAsia" w:ascii="宋体" w:hAnsi="宋体" w:cs="宋体"/>
        </w:rPr>
        <w:t>第四节 矿产资源开发利用规划</w:t>
      </w:r>
      <w:bookmarkEnd w:id="84"/>
      <w:bookmarkEnd w:id="85"/>
      <w:bookmarkEnd w:id="86"/>
      <w:bookmarkEnd w:id="87"/>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县域内已发现有色金属矿产为锑矿，为中型矿床，规划到2025年末完成探矿权转采矿权，开发规模按国家批准配额开采，拟开发的锑矿山为民丰县硝尔库勒锑矿。</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县域内已发现贵金属矿产为岩金矿，为小型矿山，拟开发的金矿山为民丰县帕西木岩金矿。</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全县规划开采的非金属矿产主要有玉石矿、建筑用砂矿、建筑用闪长岩矿等。</w:t>
      </w:r>
    </w:p>
    <w:p>
      <w:pPr>
        <w:pStyle w:val="2"/>
      </w:pPr>
    </w:p>
    <w:p>
      <w:pPr>
        <w:pStyle w:val="2"/>
      </w:pPr>
    </w:p>
    <w:p>
      <w:pPr>
        <w:pStyle w:val="2"/>
      </w:pPr>
    </w:p>
    <w:p>
      <w:pPr>
        <w:pStyle w:val="2"/>
      </w:pPr>
    </w:p>
    <w:p>
      <w:pPr>
        <w:pStyle w:val="2"/>
      </w:pPr>
    </w:p>
    <w:p>
      <w:pPr>
        <w:pStyle w:val="2"/>
      </w:pPr>
    </w:p>
    <w:p>
      <w:pPr>
        <w:pStyle w:val="2"/>
      </w:pPr>
    </w:p>
    <w:p>
      <w:pPr>
        <w:pStyle w:val="3"/>
        <w:spacing w:before="120" w:after="120" w:line="360" w:lineRule="auto"/>
        <w:jc w:val="center"/>
        <w:rPr>
          <w:rFonts w:ascii="宋体" w:hAnsi="宋体" w:cs="宋体"/>
        </w:rPr>
      </w:pPr>
      <w:bookmarkStart w:id="88" w:name="_Toc18052"/>
      <w:bookmarkStart w:id="89" w:name="_Toc3046"/>
      <w:r>
        <w:rPr>
          <w:rFonts w:hint="eastAsia" w:ascii="宋体" w:hAnsi="宋体" w:cs="宋体"/>
        </w:rPr>
        <w:fldChar w:fldCharType="begin"/>
      </w:r>
      <w:r>
        <w:rPr>
          <w:rFonts w:hint="eastAsia" w:ascii="宋体" w:hAnsi="宋体" w:cs="宋体"/>
        </w:rPr>
        <w:instrText xml:space="preserve"> HYPERLINK \l "_Toc468871265" </w:instrText>
      </w:r>
      <w:r>
        <w:rPr>
          <w:rFonts w:hint="eastAsia" w:ascii="宋体" w:hAnsi="宋体" w:cs="宋体"/>
        </w:rPr>
        <w:fldChar w:fldCharType="separate"/>
      </w:r>
      <w:r>
        <w:rPr>
          <w:rFonts w:hint="eastAsia" w:ascii="宋体" w:hAnsi="宋体" w:cs="宋体"/>
        </w:rPr>
        <w:t>第四章  加强矿产资源勘查开发利用与保护</w:t>
      </w:r>
      <w:r>
        <w:rPr>
          <w:rFonts w:hint="eastAsia" w:ascii="宋体" w:hAnsi="宋体" w:cs="宋体"/>
        </w:rPr>
        <w:fldChar w:fldCharType="end"/>
      </w:r>
      <w:bookmarkEnd w:id="88"/>
      <w:bookmarkEnd w:id="89"/>
    </w:p>
    <w:p>
      <w:pPr>
        <w:pStyle w:val="4"/>
        <w:adjustRightInd w:val="0"/>
        <w:snapToGrid w:val="0"/>
        <w:spacing w:before="240" w:after="0" w:line="360" w:lineRule="auto"/>
        <w:jc w:val="center"/>
        <w:rPr>
          <w:rFonts w:ascii="宋体" w:hAnsi="宋体" w:cs="宋体"/>
        </w:rPr>
      </w:pPr>
      <w:bookmarkStart w:id="90" w:name="_Toc22394"/>
      <w:bookmarkStart w:id="91" w:name="_Toc5149"/>
      <w:r>
        <w:rPr>
          <w:rFonts w:hint="eastAsia" w:ascii="宋体" w:hAnsi="宋体" w:cs="宋体"/>
        </w:rPr>
        <w:t>第一节  合理确定开发强度</w:t>
      </w:r>
      <w:bookmarkEnd w:id="90"/>
      <w:bookmarkEnd w:id="91"/>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92" w:name="_Toc10707"/>
      <w:r>
        <w:rPr>
          <w:rFonts w:hint="eastAsia" w:ascii="黑体" w:hAnsi="黑体" w:eastAsia="黑体" w:cs="宋体"/>
          <w:color w:val="auto"/>
          <w:kern w:val="2"/>
          <w:sz w:val="32"/>
          <w:szCs w:val="32"/>
          <w:lang w:val="en-US"/>
        </w:rPr>
        <w:t>一、开采总量调控</w:t>
      </w:r>
      <w:bookmarkEnd w:id="92"/>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截止2020年全县采矿权28家，开采种类为锑铅矿1家，岩金矿1家，玉石矿1家，建筑用砂矿25家。</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2021-2025年一、二类矿种矿石开采总量每年控制在30万吨以内，建筑用砂矿、砖瓦用粘土小型非金属矿石开采总量保持年均增长10%，2025年达80万立方米/年，保障市场需求。</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93" w:name="_Toc19855"/>
      <w:r>
        <w:rPr>
          <w:rFonts w:hint="eastAsia" w:ascii="黑体" w:hAnsi="黑体" w:eastAsia="黑体" w:cs="宋体"/>
          <w:color w:val="auto"/>
          <w:kern w:val="2"/>
          <w:sz w:val="32"/>
          <w:szCs w:val="32"/>
          <w:lang w:val="en-US"/>
        </w:rPr>
        <w:t>二、矿业权数量调控及措施</w:t>
      </w:r>
      <w:bookmarkEnd w:id="93"/>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按照一个规划开采区块设置一个采矿权的原则，全县拟设置20个规划开采区块。开采矿种:有色金属和建筑用闪长岩。第四轮、规划期间，民丰县的一、二、三类矿产采矿权总数控制在29个以内，一、二类矿产采矿权总数21个以内，三类矿产采矿权总数控制在8个以内（专栏3-3）。</w:t>
      </w:r>
    </w:p>
    <w:p>
      <w:pPr>
        <w:pStyle w:val="4"/>
        <w:adjustRightInd w:val="0"/>
        <w:snapToGrid w:val="0"/>
        <w:spacing w:before="240" w:after="0" w:line="360" w:lineRule="auto"/>
        <w:jc w:val="center"/>
        <w:rPr>
          <w:rFonts w:ascii="宋体" w:hAnsi="宋体" w:cs="宋体"/>
        </w:rPr>
      </w:pPr>
      <w:bookmarkStart w:id="94" w:name="_Toc9201"/>
      <w:bookmarkStart w:id="95" w:name="_Toc2066"/>
      <w:r>
        <w:rPr>
          <w:rFonts w:hint="eastAsia" w:ascii="宋体" w:hAnsi="宋体" w:cs="宋体"/>
        </w:rPr>
        <w:t>第二节  优化开发利用结构</w:t>
      </w:r>
      <w:bookmarkEnd w:id="94"/>
      <w:bookmarkEnd w:id="95"/>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96" w:name="_Toc19324"/>
      <w:r>
        <w:rPr>
          <w:rFonts w:hint="eastAsia" w:ascii="黑体" w:hAnsi="黑体" w:eastAsia="黑体" w:cs="宋体"/>
          <w:color w:val="auto"/>
          <w:kern w:val="2"/>
          <w:sz w:val="32"/>
          <w:szCs w:val="32"/>
          <w:lang w:val="en-US"/>
        </w:rPr>
        <w:t>一、优化开发利用结构</w:t>
      </w:r>
      <w:bookmarkEnd w:id="96"/>
    </w:p>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（一）主要矿种矿山最低开采规模标准</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遵照落实自治区十四五矿产资源总体规划和和田地区十四五矿产资源总体规划要求，制定了民丰县主要矿产矿山最低开采规模(专栏4-1）。</w:t>
      </w:r>
    </w:p>
    <w:p>
      <w:pPr>
        <w:adjustRightInd w:val="0"/>
        <w:snapToGrid w:val="0"/>
        <w:rPr>
          <w:rFonts w:ascii="楷体" w:hAnsi="楷体" w:eastAsia="楷体" w:cs="宋体"/>
          <w:b/>
          <w:szCs w:val="21"/>
        </w:rPr>
      </w:pPr>
      <w:r>
        <w:rPr>
          <w:rFonts w:hint="eastAsia" w:ascii="楷体" w:hAnsi="楷体" w:eastAsia="楷体" w:cs="宋体"/>
          <w:b/>
          <w:szCs w:val="21"/>
        </w:rPr>
        <w:t>专栏4-1                民丰县主要矿产矿山最低开采规模表</w:t>
      </w:r>
    </w:p>
    <w:tbl>
      <w:tblPr>
        <w:tblStyle w:val="27"/>
        <w:tblW w:w="8757" w:type="dxa"/>
        <w:tblInd w:w="0" w:type="dxa"/>
        <w:tblLayout w:type="fixed"/>
        <w:tblCellMar>
          <w:top w:w="15" w:type="dxa"/>
          <w:left w:w="15" w:type="dxa"/>
          <w:bottom w:w="15" w:type="dxa"/>
          <w:right w:w="15" w:type="dxa"/>
        </w:tblCellMar>
      </w:tblPr>
      <w:tblGrid>
        <w:gridCol w:w="813"/>
        <w:gridCol w:w="2689"/>
        <w:gridCol w:w="1620"/>
        <w:gridCol w:w="952"/>
        <w:gridCol w:w="961"/>
        <w:gridCol w:w="946"/>
        <w:gridCol w:w="776"/>
      </w:tblGrid>
      <w:tr>
        <w:tblPrEx>
          <w:tblCellMar>
            <w:top w:w="15" w:type="dxa"/>
            <w:left w:w="15" w:type="dxa"/>
            <w:bottom w:w="15" w:type="dxa"/>
            <w:right w:w="15" w:type="dxa"/>
          </w:tblCellMar>
        </w:tblPrEx>
        <w:trPr>
          <w:trHeight w:val="450" w:hRule="atLeast"/>
        </w:trPr>
        <w:tc>
          <w:tcPr>
            <w:tcW w:w="81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序号</w:t>
            </w:r>
          </w:p>
        </w:tc>
        <w:tc>
          <w:tcPr>
            <w:tcW w:w="2689"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矿产名称</w:t>
            </w:r>
          </w:p>
        </w:tc>
        <w:tc>
          <w:tcPr>
            <w:tcW w:w="1620"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 xml:space="preserve">开采规模  </w:t>
            </w:r>
          </w:p>
          <w:p>
            <w:pPr>
              <w:widowControl/>
              <w:jc w:val="center"/>
              <w:textAlignment w:val="center"/>
              <w:rPr>
                <w:rFonts w:ascii="宋体" w:hAnsi="宋体" w:cs="宋体"/>
                <w:bCs/>
                <w:szCs w:val="21"/>
              </w:rPr>
            </w:pPr>
            <w:r>
              <w:rPr>
                <w:rFonts w:hint="eastAsia" w:ascii="宋体" w:hAnsi="宋体" w:cs="宋体"/>
                <w:bCs/>
                <w:kern w:val="0"/>
                <w:szCs w:val="21"/>
              </w:rPr>
              <w:t xml:space="preserve"> 单位(矿石)</w:t>
            </w:r>
          </w:p>
        </w:tc>
        <w:tc>
          <w:tcPr>
            <w:tcW w:w="2859" w:type="dxa"/>
            <w:gridSpan w:val="3"/>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矿山开采规模下限</w:t>
            </w:r>
          </w:p>
        </w:tc>
        <w:tc>
          <w:tcPr>
            <w:tcW w:w="776"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最低服务年限（年）</w:t>
            </w:r>
          </w:p>
        </w:tc>
      </w:tr>
      <w:tr>
        <w:tblPrEx>
          <w:tblCellMar>
            <w:top w:w="15" w:type="dxa"/>
            <w:left w:w="15" w:type="dxa"/>
            <w:bottom w:w="15" w:type="dxa"/>
            <w:right w:w="15" w:type="dxa"/>
          </w:tblCellMar>
        </w:tblPrEx>
        <w:trPr>
          <w:trHeight w:val="420" w:hRule="atLeast"/>
        </w:trPr>
        <w:tc>
          <w:tcPr>
            <w:tcW w:w="813"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Cs/>
                <w:szCs w:val="21"/>
              </w:rPr>
            </w:pPr>
          </w:p>
        </w:tc>
        <w:tc>
          <w:tcPr>
            <w:tcW w:w="2689"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Cs/>
                <w:szCs w:val="21"/>
              </w:rPr>
            </w:pPr>
          </w:p>
        </w:tc>
        <w:tc>
          <w:tcPr>
            <w:tcW w:w="1620"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Cs/>
                <w:szCs w:val="21"/>
              </w:rPr>
            </w:pPr>
          </w:p>
        </w:tc>
        <w:tc>
          <w:tcPr>
            <w:tcW w:w="952"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大型</w:t>
            </w:r>
          </w:p>
        </w:tc>
        <w:tc>
          <w:tcPr>
            <w:tcW w:w="961"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中型</w:t>
            </w:r>
          </w:p>
        </w:tc>
        <w:tc>
          <w:tcPr>
            <w:tcW w:w="946"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小型</w:t>
            </w:r>
          </w:p>
        </w:tc>
        <w:tc>
          <w:tcPr>
            <w:tcW w:w="776"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Cs/>
                <w:szCs w:val="21"/>
              </w:rPr>
            </w:pPr>
          </w:p>
        </w:tc>
      </w:tr>
      <w:tr>
        <w:tblPrEx>
          <w:tblCellMar>
            <w:top w:w="15" w:type="dxa"/>
            <w:left w:w="15" w:type="dxa"/>
            <w:bottom w:w="15" w:type="dxa"/>
            <w:right w:w="15" w:type="dxa"/>
          </w:tblCellMar>
        </w:tblPrEx>
        <w:trPr>
          <w:trHeight w:val="23" w:hRule="atLeast"/>
        </w:trPr>
        <w:tc>
          <w:tcPr>
            <w:tcW w:w="813"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w:t>
            </w:r>
          </w:p>
        </w:tc>
        <w:tc>
          <w:tcPr>
            <w:tcW w:w="2689"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金（岩金）（地下/露天开采）</w:t>
            </w:r>
          </w:p>
        </w:tc>
        <w:tc>
          <w:tcPr>
            <w:tcW w:w="1620"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万吨/年</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15/15</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6/9</w:t>
            </w:r>
          </w:p>
        </w:tc>
        <w:tc>
          <w:tcPr>
            <w:tcW w:w="946"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3/-</w:t>
            </w:r>
          </w:p>
        </w:tc>
        <w:tc>
          <w:tcPr>
            <w:tcW w:w="776"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10</w:t>
            </w:r>
          </w:p>
        </w:tc>
      </w:tr>
      <w:tr>
        <w:tblPrEx>
          <w:tblCellMar>
            <w:top w:w="15" w:type="dxa"/>
            <w:left w:w="15" w:type="dxa"/>
            <w:bottom w:w="15" w:type="dxa"/>
            <w:right w:w="15" w:type="dxa"/>
          </w:tblCellMar>
        </w:tblPrEx>
        <w:trPr>
          <w:trHeight w:val="23" w:hRule="atLeast"/>
        </w:trPr>
        <w:tc>
          <w:tcPr>
            <w:tcW w:w="813"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2</w:t>
            </w:r>
          </w:p>
        </w:tc>
        <w:tc>
          <w:tcPr>
            <w:tcW w:w="2689"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铜</w:t>
            </w:r>
          </w:p>
        </w:tc>
        <w:tc>
          <w:tcPr>
            <w:tcW w:w="1620"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万吨/年</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100</w:t>
            </w:r>
          </w:p>
        </w:tc>
        <w:tc>
          <w:tcPr>
            <w:tcW w:w="961"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30</w:t>
            </w:r>
          </w:p>
        </w:tc>
        <w:tc>
          <w:tcPr>
            <w:tcW w:w="946"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w:t>
            </w:r>
          </w:p>
        </w:tc>
        <w:tc>
          <w:tcPr>
            <w:tcW w:w="776"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10</w:t>
            </w:r>
          </w:p>
        </w:tc>
      </w:tr>
      <w:tr>
        <w:tblPrEx>
          <w:tblCellMar>
            <w:top w:w="15" w:type="dxa"/>
            <w:left w:w="15" w:type="dxa"/>
            <w:bottom w:w="15" w:type="dxa"/>
            <w:right w:w="15" w:type="dxa"/>
          </w:tblCellMar>
        </w:tblPrEx>
        <w:trPr>
          <w:trHeight w:val="23" w:hRule="atLeast"/>
        </w:trPr>
        <w:tc>
          <w:tcPr>
            <w:tcW w:w="813"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2</w:t>
            </w:r>
          </w:p>
        </w:tc>
        <w:tc>
          <w:tcPr>
            <w:tcW w:w="2689"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铅矿</w:t>
            </w:r>
          </w:p>
        </w:tc>
        <w:tc>
          <w:tcPr>
            <w:tcW w:w="1620"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万吨/年</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100</w:t>
            </w:r>
          </w:p>
        </w:tc>
        <w:tc>
          <w:tcPr>
            <w:tcW w:w="961"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30</w:t>
            </w:r>
          </w:p>
        </w:tc>
        <w:tc>
          <w:tcPr>
            <w:tcW w:w="946"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10</w:t>
            </w:r>
          </w:p>
        </w:tc>
        <w:tc>
          <w:tcPr>
            <w:tcW w:w="776"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15</w:t>
            </w:r>
          </w:p>
        </w:tc>
      </w:tr>
      <w:tr>
        <w:tblPrEx>
          <w:tblCellMar>
            <w:top w:w="15" w:type="dxa"/>
            <w:left w:w="15" w:type="dxa"/>
            <w:bottom w:w="15" w:type="dxa"/>
            <w:right w:w="15" w:type="dxa"/>
          </w:tblCellMar>
        </w:tblPrEx>
        <w:trPr>
          <w:trHeight w:val="23" w:hRule="atLeast"/>
        </w:trPr>
        <w:tc>
          <w:tcPr>
            <w:tcW w:w="813"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3</w:t>
            </w:r>
          </w:p>
        </w:tc>
        <w:tc>
          <w:tcPr>
            <w:tcW w:w="2689"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锑矿</w:t>
            </w:r>
          </w:p>
        </w:tc>
        <w:tc>
          <w:tcPr>
            <w:tcW w:w="1620"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矿石/万吨</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100</w:t>
            </w:r>
          </w:p>
        </w:tc>
        <w:tc>
          <w:tcPr>
            <w:tcW w:w="961"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30</w:t>
            </w:r>
          </w:p>
        </w:tc>
        <w:tc>
          <w:tcPr>
            <w:tcW w:w="946"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3</w:t>
            </w:r>
          </w:p>
        </w:tc>
        <w:tc>
          <w:tcPr>
            <w:tcW w:w="776"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10</w:t>
            </w:r>
          </w:p>
        </w:tc>
      </w:tr>
      <w:tr>
        <w:tblPrEx>
          <w:tblCellMar>
            <w:top w:w="15" w:type="dxa"/>
            <w:left w:w="15" w:type="dxa"/>
            <w:bottom w:w="15" w:type="dxa"/>
            <w:right w:w="15" w:type="dxa"/>
          </w:tblCellMar>
        </w:tblPrEx>
        <w:trPr>
          <w:trHeight w:val="23" w:hRule="atLeast"/>
        </w:trPr>
        <w:tc>
          <w:tcPr>
            <w:tcW w:w="813"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4</w:t>
            </w:r>
          </w:p>
        </w:tc>
        <w:tc>
          <w:tcPr>
            <w:tcW w:w="2689"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砖瓦用粘土</w:t>
            </w:r>
          </w:p>
        </w:tc>
        <w:tc>
          <w:tcPr>
            <w:tcW w:w="1620" w:type="dxa"/>
            <w:tcBorders>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万立方米/年</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30</w:t>
            </w:r>
          </w:p>
        </w:tc>
        <w:tc>
          <w:tcPr>
            <w:tcW w:w="961"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13</w:t>
            </w:r>
          </w:p>
        </w:tc>
        <w:tc>
          <w:tcPr>
            <w:tcW w:w="946"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6</w:t>
            </w:r>
          </w:p>
        </w:tc>
        <w:tc>
          <w:tcPr>
            <w:tcW w:w="776" w:type="dxa"/>
            <w:tcBorders>
              <w:bottom w:val="single" w:color="000000" w:sz="4" w:space="0"/>
              <w:right w:val="single" w:color="000000" w:sz="4" w:space="0"/>
            </w:tcBorders>
            <w:vAlign w:val="center"/>
          </w:tcPr>
          <w:p>
            <w:pPr>
              <w:jc w:val="center"/>
              <w:rPr>
                <w:rFonts w:ascii="宋体" w:hAnsi="宋体" w:cs="宋体"/>
                <w:bCs/>
                <w:szCs w:val="21"/>
              </w:rPr>
            </w:pPr>
            <w:r>
              <w:rPr>
                <w:rFonts w:hint="eastAsia" w:ascii="宋体" w:hAnsi="宋体" w:cs="宋体"/>
                <w:bCs/>
                <w:szCs w:val="21"/>
              </w:rPr>
              <w:t>/</w:t>
            </w:r>
          </w:p>
        </w:tc>
      </w:tr>
      <w:tr>
        <w:tblPrEx>
          <w:tblCellMar>
            <w:top w:w="15" w:type="dxa"/>
            <w:left w:w="15" w:type="dxa"/>
            <w:bottom w:w="15" w:type="dxa"/>
            <w:right w:w="15" w:type="dxa"/>
          </w:tblCellMar>
        </w:tblPrEx>
        <w:trPr>
          <w:trHeight w:val="23" w:hRule="atLeast"/>
        </w:trPr>
        <w:tc>
          <w:tcPr>
            <w:tcW w:w="813" w:type="dxa"/>
            <w:tcBorders>
              <w:left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5</w:t>
            </w:r>
          </w:p>
        </w:tc>
        <w:tc>
          <w:tcPr>
            <w:tcW w:w="2689" w:type="dxa"/>
            <w:tcBorders>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建筑用砂</w:t>
            </w:r>
          </w:p>
        </w:tc>
        <w:tc>
          <w:tcPr>
            <w:tcW w:w="1620" w:type="dxa"/>
            <w:tcBorders>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万立方米/年</w:t>
            </w:r>
          </w:p>
        </w:tc>
        <w:tc>
          <w:tcPr>
            <w:tcW w:w="952" w:type="dxa"/>
            <w:tcBorders>
              <w:left w:val="single" w:color="000000" w:sz="4" w:space="0"/>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30</w:t>
            </w:r>
          </w:p>
        </w:tc>
        <w:tc>
          <w:tcPr>
            <w:tcW w:w="961" w:type="dxa"/>
            <w:tcBorders>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13</w:t>
            </w:r>
          </w:p>
        </w:tc>
        <w:tc>
          <w:tcPr>
            <w:tcW w:w="946" w:type="dxa"/>
            <w:tcBorders>
              <w:right w:val="single" w:color="000000" w:sz="4" w:space="0"/>
            </w:tcBorders>
            <w:vAlign w:val="center"/>
          </w:tcPr>
          <w:p>
            <w:pPr>
              <w:widowControl/>
              <w:jc w:val="center"/>
              <w:textAlignment w:val="center"/>
              <w:rPr>
                <w:rFonts w:ascii="宋体" w:hAnsi="宋体" w:cs="宋体"/>
                <w:bCs/>
                <w:szCs w:val="21"/>
              </w:rPr>
            </w:pPr>
            <w:r>
              <w:rPr>
                <w:rFonts w:hint="eastAsia" w:ascii="宋体" w:hAnsi="宋体" w:cs="宋体"/>
                <w:bCs/>
                <w:kern w:val="0"/>
                <w:szCs w:val="21"/>
              </w:rPr>
              <w:t>6</w:t>
            </w:r>
          </w:p>
        </w:tc>
        <w:tc>
          <w:tcPr>
            <w:tcW w:w="776" w:type="dxa"/>
            <w:tcBorders>
              <w:right w:val="single" w:color="000000" w:sz="4" w:space="0"/>
            </w:tcBorders>
            <w:vAlign w:val="center"/>
          </w:tcPr>
          <w:p>
            <w:pPr>
              <w:jc w:val="center"/>
              <w:rPr>
                <w:rFonts w:ascii="宋体" w:hAnsi="宋体" w:cs="宋体"/>
                <w:bCs/>
                <w:szCs w:val="21"/>
              </w:rPr>
            </w:pPr>
            <w:r>
              <w:rPr>
                <w:rFonts w:hint="eastAsia" w:ascii="宋体" w:hAnsi="宋体" w:cs="宋体"/>
                <w:bCs/>
                <w:szCs w:val="21"/>
              </w:rPr>
              <w:t>/</w:t>
            </w:r>
          </w:p>
        </w:tc>
      </w:tr>
      <w:tr>
        <w:tblPrEx>
          <w:tblCellMar>
            <w:top w:w="15" w:type="dxa"/>
            <w:left w:w="15" w:type="dxa"/>
            <w:bottom w:w="15" w:type="dxa"/>
            <w:right w:w="15" w:type="dxa"/>
          </w:tblCellMar>
        </w:tblPrEx>
        <w:trPr>
          <w:trHeight w:val="240" w:hRule="atLeast"/>
        </w:trPr>
        <w:tc>
          <w:tcPr>
            <w:tcW w:w="81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kern w:val="0"/>
                <w:szCs w:val="21"/>
              </w:rPr>
            </w:pPr>
            <w:bookmarkStart w:id="97" w:name="_Toc18040"/>
            <w:r>
              <w:rPr>
                <w:rFonts w:hint="eastAsia" w:ascii="宋体" w:hAnsi="宋体" w:cs="宋体"/>
                <w:bCs/>
                <w:kern w:val="0"/>
                <w:szCs w:val="21"/>
              </w:rPr>
              <w:t>6</w:t>
            </w:r>
          </w:p>
        </w:tc>
        <w:tc>
          <w:tcPr>
            <w:tcW w:w="2689"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建筑石料</w:t>
            </w:r>
          </w:p>
        </w:tc>
        <w:tc>
          <w:tcPr>
            <w:tcW w:w="1620"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万立方米/年</w:t>
            </w:r>
          </w:p>
        </w:tc>
        <w:tc>
          <w:tcPr>
            <w:tcW w:w="95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10</w:t>
            </w:r>
          </w:p>
        </w:tc>
        <w:tc>
          <w:tcPr>
            <w:tcW w:w="961"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bCs/>
                <w:kern w:val="0"/>
                <w:szCs w:val="21"/>
              </w:rPr>
            </w:pPr>
            <w:r>
              <w:rPr>
                <w:rFonts w:hint="eastAsia" w:ascii="宋体" w:hAnsi="宋体" w:cs="宋体"/>
                <w:bCs/>
                <w:kern w:val="0"/>
                <w:szCs w:val="21"/>
              </w:rPr>
              <w:t>5</w:t>
            </w:r>
          </w:p>
        </w:tc>
        <w:tc>
          <w:tcPr>
            <w:tcW w:w="946" w:type="dxa"/>
            <w:tcBorders>
              <w:top w:val="single" w:color="auto" w:sz="4" w:space="0"/>
              <w:bottom w:val="single" w:color="000000" w:sz="4" w:space="0"/>
              <w:right w:val="single" w:color="000000" w:sz="4" w:space="0"/>
            </w:tcBorders>
            <w:vAlign w:val="center"/>
          </w:tcPr>
          <w:p>
            <w:pPr>
              <w:widowControl/>
              <w:jc w:val="center"/>
              <w:textAlignment w:val="center"/>
              <w:rPr>
                <w:rFonts w:ascii="宋体" w:hAnsi="宋体" w:cs="宋体"/>
                <w:bCs/>
                <w:kern w:val="0"/>
                <w:szCs w:val="21"/>
              </w:rPr>
            </w:pPr>
            <w:r>
              <w:rPr>
                <w:rFonts w:hint="eastAsia" w:ascii="宋体" w:hAnsi="宋体" w:cs="宋体"/>
                <w:bCs/>
                <w:szCs w:val="21"/>
              </w:rPr>
              <w:t>1.5</w:t>
            </w:r>
          </w:p>
        </w:tc>
        <w:tc>
          <w:tcPr>
            <w:tcW w:w="776" w:type="dxa"/>
            <w:tcBorders>
              <w:top w:val="single" w:color="auto" w:sz="4" w:space="0"/>
              <w:bottom w:val="single" w:color="000000" w:sz="4" w:space="0"/>
              <w:right w:val="single" w:color="000000" w:sz="4" w:space="0"/>
            </w:tcBorders>
            <w:vAlign w:val="center"/>
          </w:tcPr>
          <w:p>
            <w:pPr>
              <w:jc w:val="center"/>
              <w:rPr>
                <w:rFonts w:ascii="宋体" w:hAnsi="宋体" w:cs="宋体"/>
                <w:bCs/>
                <w:szCs w:val="21"/>
              </w:rPr>
            </w:pPr>
            <w:r>
              <w:rPr>
                <w:rFonts w:hint="eastAsia" w:ascii="宋体" w:hAnsi="宋体" w:cs="宋体"/>
                <w:bCs/>
                <w:szCs w:val="21"/>
              </w:rPr>
              <w:t>/</w:t>
            </w:r>
          </w:p>
        </w:tc>
      </w:tr>
    </w:tbl>
    <w:p>
      <w:pPr>
        <w:adjustRightInd w:val="0"/>
        <w:snapToGrid w:val="0"/>
        <w:spacing w:line="560" w:lineRule="exact"/>
        <w:ind w:firstLine="642" w:firstLineChars="200"/>
        <w:outlineLvl w:val="3"/>
        <w:rPr>
          <w:rFonts w:ascii="楷体" w:hAnsi="楷体" w:eastAsia="楷体" w:cs="宋体"/>
          <w:b/>
          <w:bCs/>
          <w:sz w:val="32"/>
          <w:szCs w:val="32"/>
        </w:rPr>
      </w:pPr>
      <w:r>
        <w:rPr>
          <w:rFonts w:hint="eastAsia" w:ascii="楷体" w:hAnsi="楷体" w:eastAsia="楷体" w:cs="宋体"/>
          <w:b/>
          <w:bCs/>
          <w:sz w:val="32"/>
          <w:szCs w:val="32"/>
        </w:rPr>
        <w:t>（二）调整优化矿山结构</w:t>
      </w:r>
      <w:bookmarkEnd w:id="97"/>
    </w:p>
    <w:p>
      <w:pPr>
        <w:tabs>
          <w:tab w:val="left" w:pos="3126"/>
        </w:tabs>
        <w:spacing w:line="52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1、规模结构</w:t>
      </w:r>
      <w:r>
        <w:rPr>
          <w:rFonts w:hint="eastAsia" w:ascii="仿宋_GB2312" w:hAnsi="仿宋" w:eastAsia="仿宋_GB2312" w:cs="宋体"/>
          <w:sz w:val="32"/>
          <w:szCs w:val="32"/>
        </w:rPr>
        <w:tab/>
      </w:r>
    </w:p>
    <w:p>
      <w:pPr>
        <w:spacing w:line="520" w:lineRule="exact"/>
        <w:ind w:firstLine="561"/>
        <w:rPr>
          <w:rFonts w:ascii="仿宋_GB2312" w:hAnsi="仿宋" w:eastAsia="仿宋_GB2312" w:cs="宋体"/>
          <w:sz w:val="32"/>
          <w:szCs w:val="32"/>
        </w:rPr>
      </w:pPr>
      <w:r>
        <w:rPr>
          <w:rFonts w:hint="eastAsia" w:ascii="仿宋_GB2312" w:hAnsi="仿宋" w:eastAsia="仿宋_GB2312" w:cs="宋体"/>
          <w:sz w:val="32"/>
          <w:szCs w:val="32"/>
        </w:rPr>
        <w:t>开采规模要与矿区（床）资源储量规模相适应，严格执行最低开采规模标准。关闭资源枯竭、长期停产及禁采区范围内的小矿山，整合低于最低开采规模标准及布点密集的小矿山。到2025年，大中型矿山占有比例提高到4%，矿山总数控制在29个以内；进一步提高大中型矿山企业集约规模，大中型矿山的矿石总量和产值争取达到总数的10%。引导建筑用砂矿企业整合集约节约开采，提高开采规模。</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2、采（选）结构</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调整重要矿种采、选比例，改变以原矿生产为主的单一产品结构，提高资源综合利用回收水平。</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结合民丰县矿区的实际情况，加强中小露天矿山高效益爆破开采综合技术在矿山开采中的应用。鼓励发展矿区固体废弃物减量化、资源化、无害化处理和综合利用技术；针对民丰县现有铅锑矿、金矿的共伴生矿产，积极采用国内外成熟、先进的技术、生产工艺及设备，研发其选矿与综合利用技术。</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3、产品结构</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适应国民经济发展新常态、实施供给侧结构性改革，“三去一降一补”，实现矿产品结构化，逐步调整低档产品与高档产品、单一产品与配套产品、低附加值产品与高附加值产品、高耗能产品与低耗能产品的比例，使矿产品结构向高档、配套、高附加值和低耗能转变。</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重点发展矿产品精深加工技术，积极发展锑矿。</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4、技术结构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采用经济、行政、法律、技术等多种手段，切实落实《矿产资源节约与综合利用鼓励、限制和淘汰技术目录》。</w:t>
      </w:r>
    </w:p>
    <w:p>
      <w:pPr>
        <w:widowControl/>
        <w:numPr>
          <w:ilvl w:val="0"/>
          <w:numId w:val="1"/>
        </w:num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积极推进技术目录中的鼓励技术。推进高效采矿技术，高效利用技术，矿业固体废弃物、废水、废气利用技术，高效选矿技术，积极引进新技术、新工艺、新设备，提高资源利用水平。</w:t>
      </w:r>
    </w:p>
    <w:p>
      <w:pPr>
        <w:widowControl/>
        <w:numPr>
          <w:ilvl w:val="0"/>
          <w:numId w:val="1"/>
        </w:num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切实加强矿产资源开发利用的监督管理，新建矿山不得采用技术目录中的开采、选矿、冶炼加工等限制类技术，生产矿山采用属于限制类技术工艺的，应积极推进替代技术的应用。</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（3）坚决淘汰技术目录中列入的采、选、冶淘汰技术，淘汰落后设备，禁止新建矿山项目采用淘汰技术，生产矿山已采用淘汰项目的，主管部门应责令限期整改。</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98" w:name="_Toc14623"/>
      <w:bookmarkStart w:id="99" w:name="_Toc75777138"/>
      <w:r>
        <w:rPr>
          <w:rFonts w:hint="eastAsia" w:ascii="黑体" w:hAnsi="黑体" w:eastAsia="黑体" w:cs="宋体"/>
          <w:color w:val="auto"/>
          <w:kern w:val="2"/>
          <w:sz w:val="32"/>
          <w:szCs w:val="32"/>
          <w:lang w:val="en-US"/>
        </w:rPr>
        <w:t>二、矿产资源节约集约利用</w:t>
      </w:r>
      <w:bookmarkEnd w:id="98"/>
      <w:bookmarkEnd w:id="99"/>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强化矿产资源节约与综合利用，积极推广矿产资源节约与综合利用适用先进技术，创新节约与综合利用方法。</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1．大型露天矿山采用规范开采、高效开采，实施无废开采零排放综合技术。</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2．对于锑金铅等地下开采矿山，加强综合利用和综合开采技术方法研究，实施工程示范。</w:t>
      </w:r>
    </w:p>
    <w:p>
      <w:pPr>
        <w:pStyle w:val="2"/>
        <w:spacing w:before="0" w:beforeAutospacing="0" w:after="0" w:afterAutospacing="0"/>
        <w:rPr>
          <w:rFonts w:ascii="仿宋_GB2312" w:eastAsia="仿宋_GB2312"/>
          <w:sz w:val="32"/>
          <w:szCs w:val="32"/>
        </w:rPr>
      </w:pPr>
      <w:r>
        <w:rPr>
          <w:rFonts w:hint="eastAsia" w:ascii="仿宋_GB2312" w:eastAsia="仿宋_GB2312"/>
          <w:sz w:val="32"/>
          <w:szCs w:val="32"/>
        </w:rPr>
        <w:t xml:space="preserve">    3．针对民</w:t>
      </w:r>
      <w:r>
        <w:rPr>
          <w:rFonts w:hint="eastAsia" w:ascii="仿宋_GB2312" w:hAnsi="仿宋" w:eastAsia="仿宋_GB2312" w:cs="宋体"/>
          <w:sz w:val="32"/>
          <w:szCs w:val="32"/>
        </w:rPr>
        <w:t>丰县现有锑铅矿、金矿含有的共伴生矿产，在矿山设计和生产中要统筹兼顾，不得丢弃共伴生矿产。大力推广复杂</w:t>
      </w:r>
    </w:p>
    <w:p>
      <w:pPr>
        <w:widowControl/>
        <w:adjustRightInd w:val="0"/>
        <w:snapToGrid w:val="0"/>
        <w:spacing w:line="560" w:lineRule="exact"/>
        <w:rPr>
          <w:rFonts w:ascii="仿宋_GB2312" w:hAnsi="仿宋" w:eastAsia="仿宋_GB2312" w:cs="宋体"/>
          <w:sz w:val="32"/>
          <w:szCs w:val="32"/>
        </w:rPr>
      </w:pPr>
      <w:r>
        <w:rPr>
          <w:rFonts w:hint="eastAsia" w:ascii="仿宋_GB2312" w:hAnsi="仿宋" w:eastAsia="仿宋_GB2312" w:cs="宋体"/>
          <w:sz w:val="32"/>
          <w:szCs w:val="32"/>
        </w:rPr>
        <w:t>共伴生、低品位多金属矿的高效选矿技术以及有效提取技术。</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4．提高非金属矿产品深加工、功能化水平。推广应用纳米微粉制备技术、矿物改型改性新材料技术等新技术、新工艺、新装备，提高非金属矿有效选矿、提纯、深加工水平，开发系列化矿产品，增加附加值。</w:t>
      </w:r>
    </w:p>
    <w:p>
      <w:pPr>
        <w:widowControl/>
        <w:adjustRightInd w:val="0"/>
        <w:snapToGrid w:val="0"/>
        <w:spacing w:line="560" w:lineRule="exact"/>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5．矿山固体废弃物基本实现零排放。矿山固体废弃物的综合利用达到废弃物的减量化、无害化和资源化，推广废石、尾砂生产充填混凝土技术、矿山废水处理和回水利用技术、废气减排与利用技术、矿业废热利用技术、矿山尾矿库无土植被生态恢复技术、废弃地复垦及植被恢复技术等，实现资源环境协调发展。一般矿山采矿废石的回填不小于50%，废石综合利用率大于80%。</w:t>
      </w:r>
    </w:p>
    <w:p>
      <w:pPr>
        <w:pStyle w:val="4"/>
        <w:adjustRightInd w:val="0"/>
        <w:snapToGrid w:val="0"/>
        <w:spacing w:before="240" w:after="0" w:line="360" w:lineRule="auto"/>
        <w:jc w:val="center"/>
        <w:rPr>
          <w:rFonts w:ascii="宋体" w:hAnsi="宋体" w:cs="宋体"/>
        </w:rPr>
      </w:pPr>
      <w:bookmarkStart w:id="100" w:name="_Toc74742426"/>
      <w:bookmarkStart w:id="101" w:name="_Toc23609"/>
      <w:bookmarkStart w:id="102" w:name="_Toc13262"/>
      <w:r>
        <w:rPr>
          <w:rFonts w:hint="eastAsia" w:ascii="宋体" w:hAnsi="宋体" w:cs="宋体"/>
        </w:rPr>
        <w:t>第三节  严格规划准入管理</w:t>
      </w:r>
      <w:bookmarkEnd w:id="100"/>
      <w:bookmarkEnd w:id="101"/>
      <w:bookmarkEnd w:id="102"/>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r>
        <w:rPr>
          <w:rFonts w:hint="eastAsia" w:ascii="黑体" w:hAnsi="黑体" w:eastAsia="黑体" w:cs="宋体"/>
          <w:color w:val="auto"/>
          <w:kern w:val="2"/>
          <w:sz w:val="32"/>
          <w:szCs w:val="32"/>
          <w:lang w:val="en-US"/>
        </w:rPr>
        <w:t>一、严格矿产资源勘查准入管理</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严格矿产资源综合勘查和综合评价的地质勘查报告和勘查方案评审制度，探矿权人在勘查主要矿种的同时，必须对共生、伴生矿产资源进行综合勘查和综合评价。对没有进行综合勘查和综合评价的地质勘探报告不予审批。</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03" w:name="_Toc22552"/>
      <w:bookmarkStart w:id="104" w:name="_Toc74742432"/>
      <w:r>
        <w:rPr>
          <w:rFonts w:hint="eastAsia" w:ascii="黑体" w:hAnsi="黑体" w:eastAsia="黑体" w:cs="宋体"/>
          <w:color w:val="auto"/>
          <w:kern w:val="2"/>
          <w:sz w:val="32"/>
          <w:szCs w:val="32"/>
          <w:lang w:val="en-US"/>
        </w:rPr>
        <w:t>二、严格矿产资源开发准入</w:t>
      </w:r>
      <w:bookmarkEnd w:id="103"/>
      <w:bookmarkEnd w:id="104"/>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全县建筑用砂矿砖瓦用粘土矿开发必须符合行业准入规模等相关行业规范要求，合理布局，合理开发，优质优用。最大程度提高矿产资源的利用水平和经济效益，保护生态环境。在综合利用的同时，矿产资源开采必须按照“谁开发、谁保护，谁破坏、谁治理，谁受益、谁补偿”的原则，将环境治理、土地复垦及植被恢复、地质环境保护与综合治理列入建筑用砂石土类矿山企业的主要环节。同时市县依法审批的采矿权应当通过招投标的形式，依法配置给有一定开采经验、有经济技术优势、对产业发展具有龙头作用的企业。</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对于新建矿山，年生产规模必须达到10万立方米（含10万立方米）以上，县政府依法审批发证的矿山基本为小型矿山，其服务年限为5年。</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新建矿山必须依法领取相关证照，经立项审批、初步设计、安全评价、环境影响评价及验收程序。必须编制矿山开发利用与土地生态修复保护方案，并依照方案边开采边治理修复，必须按照批准的矿产资源开发利用方案、初步设计进行开采。</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05" w:name="_Toc27078"/>
      <w:bookmarkStart w:id="106" w:name="_Toc74742433"/>
      <w:r>
        <w:rPr>
          <w:rFonts w:hint="eastAsia" w:ascii="黑体" w:hAnsi="黑体" w:eastAsia="黑体" w:cs="宋体"/>
          <w:color w:val="auto"/>
          <w:kern w:val="2"/>
          <w:sz w:val="32"/>
          <w:szCs w:val="32"/>
          <w:lang w:val="en-US"/>
        </w:rPr>
        <w:t>三、提高矿产资源开发利用水平</w:t>
      </w:r>
      <w:bookmarkEnd w:id="105"/>
      <w:bookmarkEnd w:id="106"/>
    </w:p>
    <w:p>
      <w:pPr>
        <w:widowControl/>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在现有和新建矿山引入先进开采技术、工艺设备，建设矿山生产自动化、信息化系统，实现生产、监测、监控等集中管控和信息化技术应用，实现矿山生产与管理自动化、数字化、智能化。</w:t>
      </w:r>
      <w:r>
        <w:rPr>
          <w:rFonts w:hint="eastAsia" w:ascii="仿宋_GB2312" w:hAnsi="仿宋" w:eastAsia="仿宋_GB2312" w:cs="宋体"/>
          <w:kern w:val="0"/>
          <w:sz w:val="32"/>
          <w:szCs w:val="32"/>
        </w:rPr>
        <w:t xml:space="preserve"> </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07" w:name="_Toc31269"/>
      <w:bookmarkStart w:id="108" w:name="_Toc74742434"/>
      <w:r>
        <w:rPr>
          <w:rFonts w:hint="eastAsia" w:ascii="黑体" w:hAnsi="黑体" w:eastAsia="黑体" w:cs="宋体"/>
          <w:color w:val="auto"/>
          <w:kern w:val="2"/>
          <w:sz w:val="32"/>
          <w:szCs w:val="32"/>
          <w:lang w:val="en-US"/>
        </w:rPr>
        <w:t>四、全面推动绿色勘查</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根据和田地区已开展的绿色勘查工作推广和安排，确定民丰县规划期及规划展望期绿色勘查工作的主要目标为：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到2025年：持续开展绿色勘查示范项目，争取每年选择 1个有色金属勘查项目申报为绿色勘查示范项目；在新立的地质勘查项目中，逐步落实绿色勘查理念，开展绿色勘查工作，通过科技创新，加大绿色勘查新理论、新方法、新技术、新设备和新工艺的研究与应用推广，推动地质勘查和生态环境保护协调、健康发展；逐步总结绿色勘查示范项目经验和模式，逐步完善绿色勘查管理制度。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展望到2035年：将绿色勘查作为地质勘查工作的主要模式，形成具有完善的管理制度和技术标准的勘查模式，实现绿色勘查手段多样化、科技水平现代化、管理精细化。</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r>
        <w:rPr>
          <w:rFonts w:hint="eastAsia" w:ascii="黑体" w:hAnsi="黑体" w:eastAsia="黑体" w:cs="宋体"/>
          <w:color w:val="auto"/>
          <w:kern w:val="2"/>
          <w:sz w:val="32"/>
          <w:szCs w:val="32"/>
          <w:lang w:val="en-US"/>
        </w:rPr>
        <w:t>五、全面推动绿色矿山建设</w:t>
      </w:r>
      <w:bookmarkEnd w:id="107"/>
      <w:bookmarkEnd w:id="108"/>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本规划基于2020年底，制定规划期2025年绿色矿山建设目标，并展望到2035年绿色矿山建设目标。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到2025年民丰县绿色矿山建设的总体目标为：转变矿山发展方式，将绿色发展理念贯穿于矿山建设和矿产资源开发利用全过程，实现矿山开采科学化、资源利用高效化、生产工艺环保化，矿山环境生态化。以建设生态绿色矿山为目标，充分发挥专项资金的引导作用，支持企业加大技术改造力度。引导激励矿山企业积极申报国家级、自治区级绿色矿山试点单位，发挥示范企业的标杆作用，逐步形成全县大中型生产矿山全部绿色达标、小型生产矿山步入绿色发展正轨的良好格局。力争到 2025 年，新建矿山全部达到绿色矿山要求，全县新建或改扩建矿山全部达到绿色矿山要求，大型生产矿山绿色矿山建成率100%，中型生产矿山绿色矿山建成率50%，小型矿山要按照绿色矿山要求严格规范管理。 </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09" w:name="_Toc10370"/>
      <w:bookmarkStart w:id="110" w:name="_Toc74742437"/>
      <w:r>
        <w:rPr>
          <w:rFonts w:hint="eastAsia" w:ascii="黑体" w:hAnsi="黑体" w:eastAsia="黑体" w:cs="宋体"/>
          <w:color w:val="auto"/>
          <w:kern w:val="2"/>
          <w:sz w:val="32"/>
          <w:szCs w:val="32"/>
          <w:lang w:val="en-US"/>
        </w:rPr>
        <w:t>六、矿山生态保护修复与安全生产准入条件</w:t>
      </w:r>
      <w:bookmarkEnd w:id="109"/>
      <w:bookmarkEnd w:id="110"/>
    </w:p>
    <w:p>
      <w:pPr>
        <w:adjustRightInd w:val="0"/>
        <w:snapToGrid w:val="0"/>
        <w:spacing w:line="560" w:lineRule="exact"/>
        <w:ind w:firstLine="642" w:firstLineChars="200"/>
        <w:outlineLvl w:val="3"/>
        <w:rPr>
          <w:rFonts w:ascii="楷体" w:hAnsi="楷体" w:eastAsia="楷体" w:cs="宋体"/>
          <w:b/>
          <w:bCs/>
          <w:sz w:val="32"/>
          <w:szCs w:val="32"/>
        </w:rPr>
      </w:pPr>
      <w:bookmarkStart w:id="111" w:name="_Toc12276"/>
      <w:bookmarkStart w:id="112" w:name="_Toc74742438"/>
      <w:r>
        <w:rPr>
          <w:rFonts w:hint="eastAsia" w:ascii="楷体" w:hAnsi="楷体" w:eastAsia="楷体" w:cs="宋体"/>
          <w:b/>
          <w:bCs/>
          <w:sz w:val="32"/>
          <w:szCs w:val="32"/>
        </w:rPr>
        <w:t>（一）严格矿山地质环境准入要求</w:t>
      </w:r>
      <w:bookmarkEnd w:id="111"/>
      <w:bookmarkEnd w:id="112"/>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严守划定生态红线，禁采区内禁止新建固体矿产矿山；禁止在“三线一单”范围内新建矿山；矿业权人必须承担矿山环境治理恢复责任，按照《国土资源部办公厅关于加强对矿产资源开发利用方案审查的通知》(国土资发〔1999〕98号)、《关于做好矿山地质环境保护与土地复垦方案编报有关工作的通知》（国土资规〔2016〕21号）、《关于印发〈新疆维吾尔自治区矿山地质环境治理恢复基金管理办法〉的通知》（新自然资规［2022］1号）及矿山环境治理与生态恢复的有关要求，编制《矿产资源开发利用与生态保护修复方案》，对其在矿产资源勘查、开采活动中造成的矿区地面塌陷、地裂缝、崩塌、滑坡、地形地貌景观破坏，地下含水层破坏、地表植被损毁等进行治理修复，实现矿山地质环境保护与矿山建设工程“三同时”。矿山企业根据方案资金需求建立矿山环境治理恢复基金。</w:t>
      </w:r>
    </w:p>
    <w:p>
      <w:pPr>
        <w:adjustRightInd w:val="0"/>
        <w:snapToGrid w:val="0"/>
        <w:spacing w:line="560" w:lineRule="exact"/>
        <w:ind w:firstLine="642" w:firstLineChars="200"/>
        <w:outlineLvl w:val="3"/>
        <w:rPr>
          <w:rFonts w:ascii="楷体" w:hAnsi="楷体" w:eastAsia="楷体" w:cs="宋体"/>
          <w:b/>
          <w:bCs/>
          <w:sz w:val="32"/>
          <w:szCs w:val="32"/>
        </w:rPr>
      </w:pPr>
      <w:bookmarkStart w:id="113" w:name="_Toc74742444"/>
      <w:bookmarkStart w:id="114" w:name="_Toc65327704"/>
      <w:bookmarkStart w:id="115" w:name="_Toc3889"/>
      <w:r>
        <w:rPr>
          <w:rFonts w:hint="eastAsia" w:ascii="楷体" w:hAnsi="楷体" w:eastAsia="楷体" w:cs="宋体"/>
          <w:b/>
          <w:bCs/>
          <w:sz w:val="32"/>
          <w:szCs w:val="32"/>
        </w:rPr>
        <w:t>（二）强化矿山安全生产管理</w:t>
      </w:r>
      <w:bookmarkEnd w:id="113"/>
      <w:bookmarkEnd w:id="114"/>
      <w:bookmarkEnd w:id="115"/>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按照“三必须”要求，落实安全生产责任，严把产业政策、技术标准、项目立项等准入关，深化重点行业领域安全生产专项治理。建立联合惩治企业安全生产“黑名单”工作机制，引导矿山企业健全安全管理体系；推进“工业互联网+安全生产”，推动安全技术改造，加快淘汰不符合安全标准、安全性能低下、职业病危害严重、危及安全生产的工艺技术和装备；推进高危行业“机械化减人、自动化换人”，引导高危矿山企业建设安全生产智能装备、在线监测监控、隐患自查自改自报等安全管理信息系统，鼓励工业企业通过购买信息化服务提高安全生产管理水平。</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严格按照开发利用方案的内容进行采矿，杜绝非法开采、越层越界开采，防止未按开发利用方案和生态修复方案要求进行地质环境恢复治理所造成的次生地质灾害隐患，保证矿山安全生产。</w:t>
      </w:r>
    </w:p>
    <w:p>
      <w:pPr>
        <w:pStyle w:val="2"/>
      </w:pPr>
    </w:p>
    <w:p>
      <w:pPr>
        <w:pStyle w:val="3"/>
        <w:spacing w:before="120" w:after="120" w:line="360" w:lineRule="auto"/>
        <w:jc w:val="center"/>
        <w:rPr>
          <w:rFonts w:ascii="宋体" w:hAnsi="宋体" w:cs="宋体"/>
        </w:rPr>
      </w:pPr>
      <w:bookmarkStart w:id="116" w:name="_Toc61"/>
      <w:bookmarkStart w:id="117" w:name="_Toc18736"/>
      <w:r>
        <w:rPr>
          <w:rFonts w:hint="eastAsia" w:ascii="宋体" w:hAnsi="宋体" w:cs="宋体"/>
        </w:rPr>
        <w:t>第五章  绿色矿山建设和矿区生态保护</w:t>
      </w:r>
      <w:bookmarkEnd w:id="116"/>
      <w:bookmarkEnd w:id="117"/>
    </w:p>
    <w:p>
      <w:pPr>
        <w:pStyle w:val="4"/>
        <w:adjustRightInd w:val="0"/>
        <w:snapToGrid w:val="0"/>
        <w:spacing w:before="240" w:after="0" w:line="360" w:lineRule="auto"/>
        <w:jc w:val="center"/>
        <w:rPr>
          <w:rFonts w:ascii="宋体" w:hAnsi="宋体" w:cs="宋体"/>
        </w:rPr>
      </w:pPr>
      <w:bookmarkStart w:id="118" w:name="_Toc10943"/>
      <w:bookmarkStart w:id="119" w:name="_Toc21366"/>
      <w:r>
        <w:rPr>
          <w:rFonts w:hint="eastAsia" w:ascii="宋体" w:hAnsi="宋体" w:cs="宋体"/>
        </w:rPr>
        <w:t>第一节  绿色矿山建设</w:t>
      </w:r>
      <w:bookmarkEnd w:id="118"/>
      <w:bookmarkEnd w:id="119"/>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20" w:name="_Toc21335"/>
      <w:r>
        <w:rPr>
          <w:rFonts w:hint="eastAsia" w:ascii="黑体" w:hAnsi="黑体" w:eastAsia="黑体" w:cs="宋体"/>
          <w:color w:val="auto"/>
          <w:kern w:val="2"/>
          <w:sz w:val="32"/>
          <w:szCs w:val="32"/>
          <w:lang w:val="en-US"/>
        </w:rPr>
        <w:t>一、绿色矿山建设目标</w:t>
      </w:r>
      <w:bookmarkEnd w:id="120"/>
    </w:p>
    <w:p>
      <w:pPr>
        <w:adjustRightInd w:val="0"/>
        <w:snapToGrid w:val="0"/>
        <w:spacing w:line="560" w:lineRule="exact"/>
        <w:ind w:firstLine="642" w:firstLineChars="200"/>
        <w:outlineLvl w:val="3"/>
        <w:rPr>
          <w:rFonts w:ascii="楷体" w:hAnsi="楷体" w:eastAsia="楷体" w:cs="宋体"/>
          <w:b/>
          <w:bCs/>
          <w:sz w:val="32"/>
          <w:szCs w:val="32"/>
        </w:rPr>
      </w:pPr>
      <w:bookmarkStart w:id="121" w:name="_Toc15856"/>
      <w:r>
        <w:rPr>
          <w:rFonts w:hint="eastAsia" w:ascii="楷体" w:hAnsi="楷体" w:eastAsia="楷体" w:cs="宋体"/>
          <w:b/>
          <w:bCs/>
          <w:sz w:val="32"/>
          <w:szCs w:val="32"/>
        </w:rPr>
        <w:t>（一）近期规划目标（2021～2025年）</w:t>
      </w:r>
      <w:bookmarkEnd w:id="121"/>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根据和田地区已开展的绿色勘查工作推广和安排，确定民丰县规划期及规划展望期绿色勘查工作的主要目标为：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2025年绿色矿山建设目标为：力争到 2025 年，新建矿山全部达到绿色矿山要求，大型生产矿山绿色矿山建成率60%，中型生产矿山绿色矿山建成率40%，小型矿山要按照绿色矿山要求严格规范管理。 </w:t>
      </w:r>
    </w:p>
    <w:p>
      <w:pPr>
        <w:adjustRightInd w:val="0"/>
        <w:snapToGrid w:val="0"/>
        <w:spacing w:line="560" w:lineRule="exact"/>
        <w:ind w:firstLine="642" w:firstLineChars="200"/>
        <w:outlineLvl w:val="3"/>
        <w:rPr>
          <w:rFonts w:ascii="楷体" w:hAnsi="楷体" w:eastAsia="楷体" w:cs="宋体"/>
          <w:b/>
          <w:bCs/>
          <w:sz w:val="32"/>
          <w:szCs w:val="32"/>
        </w:rPr>
      </w:pPr>
      <w:bookmarkStart w:id="122" w:name="_Toc11383"/>
      <w:r>
        <w:rPr>
          <w:rFonts w:hint="eastAsia" w:ascii="楷体" w:hAnsi="楷体" w:eastAsia="楷体" w:cs="宋体"/>
          <w:b/>
          <w:bCs/>
          <w:sz w:val="32"/>
          <w:szCs w:val="32"/>
        </w:rPr>
        <w:t>（二）中远期展望目标（2026～2035年）</w:t>
      </w:r>
      <w:bookmarkEnd w:id="122"/>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展望到2035年民丰县绿色矿山建设的目标为：将生态文明思想贯穿绿色矿山建设全过程，形成完善的绿色矿山建设激励和约束机制，形成绿色矿山建设长效机制。新建矿山绿色矿山100%按绿色矿山标准和要求建设；生产矿山绿色矿山建成率达50%以上，大中型生产矿山绿色矿山建成率达 100%。 </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23" w:name="_Toc930"/>
      <w:r>
        <w:rPr>
          <w:rFonts w:hint="eastAsia" w:ascii="黑体" w:hAnsi="黑体" w:eastAsia="黑体" w:cs="宋体"/>
          <w:color w:val="auto"/>
          <w:kern w:val="2"/>
          <w:sz w:val="32"/>
          <w:szCs w:val="32"/>
          <w:lang w:val="en-US"/>
        </w:rPr>
        <w:t>二、绿色矿山建设工作安排</w:t>
      </w:r>
      <w:bookmarkEnd w:id="123"/>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（一）推广、总结示范项目经验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参考全自治区绿色勘查示范项目的经验，组织勘查单位做好示范经验推广，探索铁、铅、锑等矿种绿色勘查试点，以点带面，全面开展绿色勘查工作。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（二）加强科技创新和新技术、新工艺、新设备的推广应用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绿色勘查是一种创新的地质勘查工作方法，需要理念创新、技术创新，更需要设备的创新，新技术、新设备的创新使用是取得绿色勘查新成效的重要途径。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（三）在地质勘查各阶段加强绿色勘查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加快思想观念转变，要将绿色勘查变成今后乃至更长时期的自觉行动，只有坚定绿色勘查理念，才能切实的践行地质勘查行业的绿色发展。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项目立项申报时，明确绿色勘查工作内容和生态环境保护措施；地勘项目设计编制时，应单设“绿色勘查”专章，根据环境影响评价情况，制定有针对性的环境保护、节能减排等相关方面的措施；地勘项目实施时，各工程施工场地应合理布局，并采取有效的安全防护措施，做到安全文明施工，要对绿色勘查各项工作全过程进行详细记录，形成绿色勘查专项资料；检查验收时将绿色勘查与工作质量、安全生产放在同一高度。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（四）提高理论与方法找矿水平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提高找矿预测能力和预测靶区的精准度，确保实物工作量的使用效率和效益，最大限度地避免使用无效工作量；开展综合勘查与评价，注重地质、技术经济、环境及社会效益综合评价，最大限度地减少对环境的影响或扰动。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地勘单位要服务好生态文明建设，必须打造一批能够支撑生态文明建设业务的科技创新团队。通过内部挖掘、培养，外部聘请、引进、合作借用等方式，不断夯实人才基础。</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24" w:name="_Toc19662"/>
      <w:r>
        <w:rPr>
          <w:rFonts w:hint="eastAsia" w:ascii="黑体" w:hAnsi="黑体" w:eastAsia="黑体" w:cs="宋体"/>
          <w:color w:val="auto"/>
          <w:kern w:val="2"/>
          <w:sz w:val="32"/>
          <w:szCs w:val="32"/>
          <w:lang w:val="en-US"/>
        </w:rPr>
        <w:t>三、绿色矿业发展支持政策</w:t>
      </w:r>
      <w:bookmarkEnd w:id="124"/>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加强政府引导，县自然资源主管部门积极推进试点工作，加大宣传力度，推广成功经验，统筹规划县级绿色矿山建设进度，定期监督检查。</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绿色矿山开发复垦矿区内土地所产生的经济收益归采矿权人所有，按文件要求及时在矿业权人所属对公账户中设立地质环境恢复基金专项科目，按时按规定足额提取地质环境治理基金履行矿山地质环境治理义务。</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绿色矿山企业优先享受国家和地方政府划拨的矿山地质环境治理专项资金或绿色矿山建设补助资金等。</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25" w:name="_Toc8305"/>
      <w:r>
        <w:rPr>
          <w:rFonts w:hint="eastAsia" w:ascii="黑体" w:hAnsi="黑体" w:eastAsia="黑体" w:cs="宋体"/>
          <w:color w:val="auto"/>
          <w:kern w:val="2"/>
          <w:sz w:val="32"/>
          <w:szCs w:val="32"/>
          <w:lang w:val="en-US"/>
        </w:rPr>
        <w:t>四、绿色矿业发展示范区建设</w:t>
      </w:r>
      <w:bookmarkEnd w:id="125"/>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按照“政府主导、部门协作、企业主体、公众参与、共同推进”的原则，提高资源集约利用效率，推进矿产资源节约与综合利用，大力发展矿业循环经济，构建绿色矿业发展长效机制。</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提高矿产资源开采回采率、选矿回收率和综合利用率，研究制定有色、非金属等矿产绿色开采行动计划；重点开展尾矿废物综合利用，提高矿山资源利用率，延长生产利益链，积极推动绿色矿业发展示范区建设。</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26" w:name="_Toc1662"/>
      <w:r>
        <w:rPr>
          <w:rFonts w:hint="eastAsia" w:ascii="黑体" w:hAnsi="黑体" w:eastAsia="黑体" w:cs="宋体"/>
          <w:color w:val="auto"/>
          <w:kern w:val="2"/>
          <w:sz w:val="32"/>
          <w:szCs w:val="32"/>
          <w:lang w:val="en-US"/>
        </w:rPr>
        <w:t>五、绿色矿业管制措施</w:t>
      </w:r>
      <w:bookmarkEnd w:id="126"/>
    </w:p>
    <w:p>
      <w:pPr>
        <w:widowControl/>
        <w:ind w:firstLine="640" w:firstLineChars="200"/>
        <w:jc w:val="left"/>
        <w:rPr>
          <w:rFonts w:ascii="仿宋_GB2312" w:hAnsi="仿宋" w:eastAsia="仿宋_GB2312" w:cs="宋体"/>
          <w:sz w:val="32"/>
          <w:szCs w:val="32"/>
        </w:rPr>
      </w:pPr>
      <w:r>
        <w:rPr>
          <w:rFonts w:hint="eastAsia" w:ascii="仿宋_GB2312" w:hAnsi="仿宋" w:eastAsia="仿宋_GB2312" w:cs="宋体"/>
          <w:kern w:val="0"/>
          <w:sz w:val="32"/>
          <w:szCs w:val="32"/>
        </w:rPr>
        <w:t xml:space="preserve">（一）分工协作，统筹推进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积极构建政府引导、部门协作、企业主体、公众监督的绿色矿山建设格局。把绿色矿山建设工作作为一项重要任务纳入工作计划进行部署，加强领导，各政府相关部门，按照职责分工要求，协调指导和监督绿色矿山建设工作。积极引导和指导矿山企业按照绿色矿山建设标准，开展绿色矿山创建工作，做好规划实施的政策引导和支持、部门协调、经费保障等工作，扎实推进绿色矿山建设工作。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（二）制定绿色矿山激励措施，建立激励机制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建立绿色矿山激励机制，激发矿山企业创建活力，调动矿山企业创建积极性。自治区、地区两级建立相应的奖励制度，对优秀绿色矿山企业给予相应的资金奖励，加大绿色矿山的政策扶持力度；对措施得力，进展顺利，成效显著的绿色矿山实行矿产资源支持政策、保障绿色矿山建设用地、加大财税政策支持力度、创新绿色金融扶持政策、绿色免检制度等，并予以表彰。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（三）制定绿色矿山约束机制，加强监管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开展绿色矿山建设约束机制研究，实施绿色矿山达标管理。自然资源主管部门不定期对纳入绿色矿山名录库的矿山企业进行抽查，或通过收集全县矿产资源开发与环境遥感监测等相关资料，进行矿山开采情况、露天采场固体废弃物堆放占用土地情况及恢复治理情况、地形地貌破坏及恢复情况等遥感影像的对比分析，监测绿色矿山建设及运行情况。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（四）强化社会监督，失信惩戒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认真贯彻习近平生态文明思想，深入践行“绿水青山就是金山银山”理念，按照“双随机、一公开”的要求，对绿色矿山建设质量有所下降的矿山企业，督促矿山企业限期整改；对达不到绿色矿山标准、社会举报查实、弄虚作假、存在重大违规违法行为的，实施退出机制，从绿色矿山名录中除名，存在失信行为的将矿山企业和相关负责人列入异常名录和行业诚信“黑名单”。</w:t>
      </w:r>
    </w:p>
    <w:p>
      <w:pPr>
        <w:pStyle w:val="4"/>
        <w:adjustRightInd w:val="0"/>
        <w:snapToGrid w:val="0"/>
        <w:spacing w:before="240" w:after="0" w:line="360" w:lineRule="auto"/>
        <w:jc w:val="center"/>
        <w:rPr>
          <w:rFonts w:ascii="宋体" w:hAnsi="宋体" w:cs="宋体"/>
        </w:rPr>
      </w:pPr>
      <w:bookmarkStart w:id="127" w:name="_Toc31207"/>
      <w:bookmarkStart w:id="128" w:name="_Toc9768"/>
      <w:r>
        <w:rPr>
          <w:rFonts w:hint="eastAsia" w:ascii="宋体" w:hAnsi="宋体" w:cs="宋体"/>
        </w:rPr>
        <w:t>第二节  矿区生态保护修复</w:t>
      </w:r>
      <w:bookmarkEnd w:id="127"/>
      <w:bookmarkEnd w:id="128"/>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29" w:name="_Toc13225"/>
      <w:r>
        <w:rPr>
          <w:rFonts w:hint="eastAsia" w:ascii="黑体" w:hAnsi="黑体" w:eastAsia="黑体" w:cs="宋体"/>
          <w:color w:val="auto"/>
          <w:kern w:val="2"/>
          <w:sz w:val="32"/>
          <w:szCs w:val="32"/>
          <w:lang w:val="en-US"/>
        </w:rPr>
        <w:t>一、新建矿山生态保护修复</w:t>
      </w:r>
      <w:bookmarkEnd w:id="129"/>
    </w:p>
    <w:p>
      <w:pPr>
        <w:widowControl/>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sz w:val="32"/>
          <w:szCs w:val="32"/>
        </w:rPr>
        <w:t>“绿水青山就是金山银山”，着力解决矿山地质环境恶化危及矿区周边人民群众生存安全问题，努力构建绿色发展型、环境友好型矿山，坚持“在开发中保护，在保护中开发”的保护与开发并重原则，整体推进矿山地质环境保护与治理工作，统筹山水林田湖草系统治理，提高恢复治理综合效益。</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30" w:name="_Toc24533"/>
      <w:r>
        <w:rPr>
          <w:rFonts w:hint="eastAsia" w:ascii="黑体" w:hAnsi="黑体" w:eastAsia="黑体" w:cs="宋体"/>
          <w:color w:val="auto"/>
          <w:kern w:val="2"/>
          <w:sz w:val="32"/>
          <w:szCs w:val="32"/>
          <w:lang w:val="en-US"/>
        </w:rPr>
        <w:t>二、生产矿山生态保护修复</w:t>
      </w:r>
      <w:bookmarkEnd w:id="130"/>
    </w:p>
    <w:p>
      <w:pPr>
        <w:widowControl/>
        <w:adjustRightInd w:val="0"/>
        <w:snapToGrid w:val="0"/>
        <w:spacing w:line="560" w:lineRule="exact"/>
        <w:ind w:firstLine="640" w:firstLineChars="200"/>
        <w:rPr>
          <w:rFonts w:ascii="仿宋_GB2312" w:hAnsi="仿宋" w:eastAsia="仿宋_GB2312" w:cs="宋体"/>
          <w:b/>
          <w:bCs/>
          <w:sz w:val="32"/>
          <w:szCs w:val="32"/>
        </w:rPr>
      </w:pPr>
      <w:r>
        <w:rPr>
          <w:rFonts w:hint="eastAsia" w:ascii="仿宋_GB2312" w:hAnsi="仿宋" w:eastAsia="仿宋_GB2312" w:cs="宋体"/>
          <w:sz w:val="32"/>
          <w:szCs w:val="32"/>
        </w:rPr>
        <w:t>生产矿山在筹建之初就要引用先进的技术、设备和工艺，提升矿山开采技术水平、提高资源综合利用水平、优化矿业产业链及矿产品结构、加大矿区生态环境综合治理等，逐步达到绿色矿山建设标准和要求。</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31" w:name="_Toc20153"/>
      <w:r>
        <w:rPr>
          <w:rFonts w:hint="eastAsia" w:ascii="黑体" w:hAnsi="黑体" w:eastAsia="黑体" w:cs="宋体"/>
          <w:color w:val="auto"/>
          <w:kern w:val="2"/>
          <w:sz w:val="32"/>
          <w:szCs w:val="32"/>
          <w:lang w:val="en-US"/>
        </w:rPr>
        <w:t>三、闭坑矿山生态保护修复</w:t>
      </w:r>
      <w:bookmarkEnd w:id="131"/>
    </w:p>
    <w:p>
      <w:pPr>
        <w:widowControl/>
        <w:adjustRightInd w:val="0"/>
        <w:snapToGrid w:val="0"/>
        <w:spacing w:line="560" w:lineRule="exact"/>
        <w:ind w:firstLine="640" w:firstLineChars="200"/>
        <w:rPr>
          <w:rFonts w:ascii="仿宋_GB2312" w:hAnsi="仿宋" w:eastAsia="仿宋_GB2312" w:cs="宋体"/>
          <w:b/>
          <w:bCs/>
          <w:sz w:val="32"/>
          <w:szCs w:val="32"/>
        </w:rPr>
      </w:pPr>
      <w:r>
        <w:rPr>
          <w:rFonts w:hint="eastAsia" w:ascii="仿宋_GB2312" w:hAnsi="仿宋" w:eastAsia="仿宋_GB2312" w:cs="宋体"/>
          <w:sz w:val="32"/>
          <w:szCs w:val="32"/>
        </w:rPr>
        <w:t>在矿山闭坑前，矿业权人需依法对所造成的地质环境问题进行治理以及破坏的土地进行复垦，经自然资源主管部门组织专家验收合格后方可批准闭坑。针对县域内涉及历史遗留、废弃工矿土地，由各级政府有计划、分批次、有重点地进行历史遗留废弃工矿土地整治，探索构建“政府主导、企业为主体、社会组织和公众共同参与、开发式治理、市场化运作”的矿山地质环境保护治理和土地复垦新模式，拓展资金筹措渠道，加大治理投资力度，加快历史遗留矿山地质环境问题的治理。规划进行矿山地质环境恢复治理面积1.5平方千米</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32" w:name="_Toc4998"/>
      <w:r>
        <w:rPr>
          <w:rFonts w:hint="eastAsia" w:ascii="黑体" w:hAnsi="黑体" w:eastAsia="黑体" w:cs="宋体"/>
          <w:color w:val="auto"/>
          <w:kern w:val="2"/>
          <w:sz w:val="32"/>
          <w:szCs w:val="32"/>
          <w:lang w:val="en-US"/>
        </w:rPr>
        <w:t>四、积极探索矿山地质环境治理与恢复多元化投入机制</w:t>
      </w:r>
      <w:bookmarkEnd w:id="132"/>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根据民丰县实际情况，将矿山地质环境治理恢复与新农村建设、棚户区改造、生态移民搬迁、地质灾害治理、土地整治、工矿废弃地复垦利用等有机结合起来，形成合力，切实提高矿山地质环境保护和治理恢复成效。开展对重点区域的矿山地质环境治理工作。鼓励社会资金进入矿山地质环境治理市场，探索开展政府、社会资金合作治理和“先建后补”方式，拓宽治理资金渠道。研究制定矿山环境治理恢复基金管理办法，鼓励矿山企业开展“边开采、边治理”。在有条件的区域，经矿山企业同意，地方政府可采取“责任者付费，专业化治理”的方式，将产生的矿山地质环境问题交由专业机构治理。鼓励相邻矿山企业开展集中连片治理，发挥矿山企业主动性和第三方治理企业活力，提高治理效率和质量。</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33" w:name="_Toc3490"/>
      <w:r>
        <w:rPr>
          <w:rFonts w:hint="eastAsia" w:ascii="黑体" w:hAnsi="黑体" w:eastAsia="黑体" w:cs="宋体"/>
          <w:color w:val="auto"/>
          <w:kern w:val="2"/>
          <w:sz w:val="32"/>
          <w:szCs w:val="32"/>
          <w:lang w:val="en-US"/>
        </w:rPr>
        <w:t>五、矿山环境保护与恢复治理的动态监测体系</w:t>
      </w:r>
      <w:bookmarkEnd w:id="133"/>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县级自然资源主管部门依照采矿权发证权限，对本级发证的采矿权《矿产资源开发利用与生态修复方案》组织审查。审查过程中自然资源主管部门建立完善方案评审专家库，委托具有一定技术力量的事业单位或行业组织承担具体评审工作，并向社会公告；审查费用列入部门预算，不得向矿山企业和编制单位收取费用；组织审查的自然资源主管部门应评审单位应按相关法律法规、技术规范和相关文件要求，在评审时限内，公平、公开、公正地组织评审工作。地质环境保护要重点评审矿区地面塌陷、地裂缝等地质灾害、含水层破坏、地形地貌景观破坏等内容；土地复垦要重点评审节约集约利用土地和保护耕地情况，促进损毁土地优先复垦为耕地，达到可供利用状态；自然资源应将评审结果向社会公示，公示期满无异议后，及时向社会公告审查结果。公示期内存在异议的，有关自然资源主管部门应当组织核实并提出处理意见。 </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县级主管部门要加强对方案编制审查工作的组织领导和对方案实施情况的监督管理，按照“双随机一公开”要求，督促矿山企业切实履行地质环境保护与土地复垦义务。矿山企业不复垦或者复垦不符合要求的，应当依法缴纳土地复垦费；对未按规定履行地质环境治理与生态修复义务的矿山企业，列入矿业权人异常名录或严重违法名单，责令整改。整改不到位的，按照原国土资源部发布的《矿山地质环境保护规定》（国土部令第44号）及相关法律法规追究其法律责任，不得批准其申请新的采矿许可证或者申请采矿许可证延续、变更、注销，不得批准其申请新的建设用地，并将违规矿山企业列入严重违法名单；未完成的地质环境修复工作由自然资源、财政部门按程序委托第三方代为开展，相关费用由企业支付。</w:t>
      </w:r>
    </w:p>
    <w:p>
      <w:pPr>
        <w:pStyle w:val="2"/>
      </w:pPr>
    </w:p>
    <w:p>
      <w:pPr>
        <w:pStyle w:val="2"/>
      </w:pPr>
    </w:p>
    <w:p>
      <w:pPr>
        <w:pStyle w:val="2"/>
      </w:pPr>
    </w:p>
    <w:p>
      <w:pPr>
        <w:pStyle w:val="2"/>
      </w:pPr>
    </w:p>
    <w:p>
      <w:pPr>
        <w:pStyle w:val="2"/>
      </w:pPr>
    </w:p>
    <w:p>
      <w:pPr>
        <w:pStyle w:val="2"/>
      </w:pPr>
    </w:p>
    <w:p>
      <w:pPr>
        <w:pStyle w:val="3"/>
        <w:spacing w:before="120" w:after="120" w:line="360" w:lineRule="auto"/>
        <w:jc w:val="center"/>
        <w:rPr>
          <w:rFonts w:ascii="宋体" w:hAnsi="宋体" w:cs="宋体"/>
        </w:rPr>
      </w:pPr>
      <w:bookmarkStart w:id="134" w:name="_Toc295293437"/>
      <w:bookmarkStart w:id="135" w:name="_Toc3836"/>
      <w:bookmarkStart w:id="136" w:name="_Toc2353"/>
      <w:r>
        <w:rPr>
          <w:rFonts w:hint="eastAsia" w:ascii="宋体" w:hAnsi="宋体" w:cs="宋体"/>
        </w:rPr>
        <w:t xml:space="preserve">第六章  </w:t>
      </w:r>
      <w:bookmarkEnd w:id="134"/>
      <w:r>
        <w:rPr>
          <w:rFonts w:hint="eastAsia" w:ascii="宋体" w:hAnsi="宋体" w:cs="宋体"/>
        </w:rPr>
        <w:t>重点项目</w:t>
      </w:r>
      <w:bookmarkEnd w:id="135"/>
      <w:bookmarkEnd w:id="136"/>
    </w:p>
    <w:p>
      <w:pPr>
        <w:pStyle w:val="4"/>
        <w:adjustRightInd w:val="0"/>
        <w:snapToGrid w:val="0"/>
        <w:spacing w:before="240" w:after="0" w:line="360" w:lineRule="auto"/>
        <w:jc w:val="center"/>
        <w:rPr>
          <w:rFonts w:ascii="宋体" w:hAnsi="宋体" w:cs="宋体"/>
        </w:rPr>
      </w:pPr>
      <w:bookmarkStart w:id="137" w:name="_Toc8274"/>
      <w:bookmarkStart w:id="138" w:name="_Toc27313"/>
      <w:bookmarkStart w:id="139" w:name="_Toc67682266"/>
      <w:r>
        <w:rPr>
          <w:rFonts w:hint="eastAsia" w:ascii="宋体" w:hAnsi="宋体" w:cs="宋体"/>
        </w:rPr>
        <w:t>第一节  矿产资源调查评价与勘查项目</w:t>
      </w:r>
      <w:bookmarkEnd w:id="137"/>
      <w:bookmarkEnd w:id="138"/>
      <w:bookmarkEnd w:id="139"/>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40" w:name="_Toc16081"/>
      <w:r>
        <w:rPr>
          <w:rFonts w:hint="eastAsia" w:ascii="黑体" w:hAnsi="黑体" w:eastAsia="黑体" w:cs="宋体"/>
          <w:color w:val="auto"/>
          <w:kern w:val="2"/>
          <w:sz w:val="32"/>
          <w:szCs w:val="32"/>
          <w:lang w:val="en-US"/>
        </w:rPr>
        <w:t>一、基础地质调查工程</w:t>
      </w:r>
      <w:bookmarkEnd w:id="140"/>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通过实施基础地质调查工程，总结控矿因素与成矿规律，丰富找矿模式，为区域地质找矿、成矿预测、资源环境评价提供基础依据。落实自治区矿产资源规划、和田地区矿产资源规划中的调查评价项目，结合民丰县资源潜力和地质工作程度，规划了1∶ 5万区域地质矿产调查项目（专栏6-1）。</w:t>
      </w:r>
    </w:p>
    <w:p>
      <w:pPr>
        <w:adjustRightInd w:val="0"/>
        <w:snapToGrid w:val="0"/>
        <w:spacing w:before="156" w:beforeLines="50"/>
        <w:rPr>
          <w:rFonts w:ascii="楷体" w:hAnsi="楷体" w:eastAsia="楷体" w:cs="宋体"/>
          <w:b/>
          <w:kern w:val="0"/>
          <w:szCs w:val="21"/>
        </w:rPr>
      </w:pPr>
      <w:r>
        <w:rPr>
          <w:rFonts w:hint="eastAsia" w:ascii="楷体" w:hAnsi="楷体" w:eastAsia="楷体" w:cs="宋体"/>
          <w:b/>
          <w:kern w:val="0"/>
          <w:szCs w:val="21"/>
        </w:rPr>
        <w:t>专栏6-1              1∶5万基础地质调查工程项目部署一览表</w:t>
      </w:r>
    </w:p>
    <w:tbl>
      <w:tblPr>
        <w:tblStyle w:val="27"/>
        <w:tblW w:w="8522" w:type="dxa"/>
        <w:tblInd w:w="0" w:type="dxa"/>
        <w:tblLayout w:type="fixed"/>
        <w:tblCellMar>
          <w:top w:w="0" w:type="dxa"/>
          <w:left w:w="108" w:type="dxa"/>
          <w:bottom w:w="0" w:type="dxa"/>
          <w:right w:w="108" w:type="dxa"/>
        </w:tblCellMar>
      </w:tblPr>
      <w:tblGrid>
        <w:gridCol w:w="459"/>
        <w:gridCol w:w="2895"/>
        <w:gridCol w:w="1313"/>
        <w:gridCol w:w="1085"/>
        <w:gridCol w:w="2770"/>
      </w:tblGrid>
      <w:tr>
        <w:tblPrEx>
          <w:tblCellMar>
            <w:top w:w="0" w:type="dxa"/>
            <w:left w:w="108" w:type="dxa"/>
            <w:bottom w:w="0" w:type="dxa"/>
            <w:right w:w="108" w:type="dxa"/>
          </w:tblCellMar>
        </w:tblPrEx>
        <w:trPr>
          <w:trHeight w:val="946" w:hRule="atLeast"/>
        </w:trPr>
        <w:tc>
          <w:tcPr>
            <w:tcW w:w="45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Cs w:val="21"/>
              </w:rPr>
            </w:pPr>
            <w:r>
              <w:rPr>
                <w:rFonts w:hint="eastAsia" w:ascii="宋体" w:hAnsi="宋体" w:cs="宋体"/>
                <w:szCs w:val="21"/>
              </w:rPr>
              <w:t>序号</w:t>
            </w:r>
          </w:p>
        </w:tc>
        <w:tc>
          <w:tcPr>
            <w:tcW w:w="289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Cs w:val="21"/>
              </w:rPr>
            </w:pPr>
            <w:r>
              <w:rPr>
                <w:rFonts w:hint="eastAsia" w:ascii="宋体" w:hAnsi="宋体" w:cs="宋体"/>
                <w:szCs w:val="21"/>
              </w:rPr>
              <w:t>项目名称</w:t>
            </w:r>
          </w:p>
        </w:tc>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工作周期</w:t>
            </w:r>
          </w:p>
        </w:tc>
        <w:tc>
          <w:tcPr>
            <w:tcW w:w="1085"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经费概算</w:t>
            </w:r>
          </w:p>
          <w:p>
            <w:pPr>
              <w:jc w:val="center"/>
              <w:rPr>
                <w:rFonts w:ascii="宋体" w:hAnsi="宋体" w:cs="宋体"/>
                <w:szCs w:val="21"/>
              </w:rPr>
            </w:pPr>
            <w:r>
              <w:rPr>
                <w:rFonts w:hint="eastAsia" w:ascii="宋体" w:hAnsi="宋体" w:cs="宋体"/>
                <w:szCs w:val="21"/>
              </w:rPr>
              <w:t>（万元）</w:t>
            </w:r>
          </w:p>
        </w:tc>
        <w:tc>
          <w:tcPr>
            <w:tcW w:w="2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主要实物工作量</w:t>
            </w:r>
          </w:p>
        </w:tc>
      </w:tr>
      <w:tr>
        <w:tblPrEx>
          <w:tblCellMar>
            <w:top w:w="0" w:type="dxa"/>
            <w:left w:w="108" w:type="dxa"/>
            <w:bottom w:w="0" w:type="dxa"/>
            <w:right w:w="108" w:type="dxa"/>
          </w:tblCellMar>
        </w:tblPrEx>
        <w:trPr>
          <w:trHeight w:val="540" w:hRule="atLeast"/>
        </w:trPr>
        <w:tc>
          <w:tcPr>
            <w:tcW w:w="459"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textAlignment w:val="center"/>
              <w:rPr>
                <w:rFonts w:ascii="宋体" w:hAnsi="宋体" w:cs="宋体"/>
                <w:szCs w:val="21"/>
              </w:rPr>
            </w:pPr>
            <w:r>
              <w:rPr>
                <w:rFonts w:hint="eastAsia" w:ascii="宋体" w:hAnsi="宋体" w:cs="宋体"/>
                <w:szCs w:val="21"/>
              </w:rPr>
              <w:t>1</w:t>
            </w:r>
          </w:p>
        </w:tc>
        <w:tc>
          <w:tcPr>
            <w:tcW w:w="2895"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tLeast"/>
              <w:rPr>
                <w:rFonts w:ascii="宋体" w:hAnsi="宋体" w:cs="宋体"/>
                <w:szCs w:val="21"/>
              </w:rPr>
            </w:pPr>
            <w:r>
              <w:rPr>
                <w:rFonts w:hint="eastAsia" w:ascii="宋体" w:hAnsi="宋体" w:cs="宋体"/>
                <w:kern w:val="0"/>
                <w:szCs w:val="21"/>
              </w:rPr>
              <w:t>新疆民丰县巴西其其干-阔什拉什金、铁多金属成矿带1:5万航磁异常查证（含遥感解译）</w:t>
            </w:r>
          </w:p>
        </w:tc>
        <w:tc>
          <w:tcPr>
            <w:tcW w:w="1313" w:type="dxa"/>
            <w:tcBorders>
              <w:top w:val="single" w:color="auto" w:sz="4" w:space="0"/>
              <w:left w:val="nil"/>
              <w:bottom w:val="single" w:color="auto" w:sz="4" w:space="0"/>
              <w:right w:val="single" w:color="auto" w:sz="4" w:space="0"/>
            </w:tcBorders>
            <w:shd w:val="clear" w:color="000000" w:fill="auto"/>
            <w:vAlign w:val="center"/>
          </w:tcPr>
          <w:p>
            <w:pPr>
              <w:rPr>
                <w:rFonts w:ascii="宋体" w:hAnsi="宋体" w:cs="宋体"/>
                <w:szCs w:val="21"/>
              </w:rPr>
            </w:pPr>
            <w:r>
              <w:rPr>
                <w:rFonts w:hint="eastAsia" w:ascii="宋体" w:hAnsi="宋体" w:cs="宋体"/>
                <w:szCs w:val="21"/>
              </w:rPr>
              <w:t>2023</w:t>
            </w:r>
            <w:r>
              <w:rPr>
                <w:rFonts w:hint="eastAsia" w:ascii="宋体" w:hAnsi="宋体" w:cs="宋体"/>
                <w:kern w:val="0"/>
                <w:szCs w:val="21"/>
              </w:rPr>
              <w:t>～</w:t>
            </w:r>
            <w:r>
              <w:rPr>
                <w:rFonts w:hint="eastAsia" w:ascii="宋体" w:hAnsi="宋体" w:cs="宋体"/>
                <w:szCs w:val="21"/>
              </w:rPr>
              <w:t>2025</w:t>
            </w:r>
          </w:p>
        </w:tc>
        <w:tc>
          <w:tcPr>
            <w:tcW w:w="1085" w:type="dxa"/>
            <w:tcBorders>
              <w:top w:val="single" w:color="auto" w:sz="4" w:space="0"/>
              <w:left w:val="nil"/>
              <w:bottom w:val="single" w:color="auto" w:sz="4" w:space="0"/>
              <w:right w:val="single" w:color="auto" w:sz="4" w:space="0"/>
            </w:tcBorders>
            <w:shd w:val="clear" w:color="000000" w:fill="auto"/>
            <w:vAlign w:val="center"/>
          </w:tcPr>
          <w:p>
            <w:pPr>
              <w:jc w:val="center"/>
              <w:rPr>
                <w:rFonts w:ascii="宋体" w:hAnsi="宋体" w:cs="宋体"/>
                <w:szCs w:val="21"/>
              </w:rPr>
            </w:pPr>
            <w:r>
              <w:rPr>
                <w:rFonts w:hint="eastAsia" w:ascii="宋体" w:hAnsi="宋体" w:cs="宋体"/>
                <w:szCs w:val="21"/>
              </w:rPr>
              <w:t>800</w:t>
            </w:r>
          </w:p>
        </w:tc>
        <w:tc>
          <w:tcPr>
            <w:tcW w:w="2770" w:type="dxa"/>
            <w:tcBorders>
              <w:top w:val="single" w:color="auto" w:sz="4" w:space="0"/>
              <w:left w:val="nil"/>
              <w:bottom w:val="single" w:color="auto" w:sz="4" w:space="0"/>
              <w:right w:val="single" w:color="auto" w:sz="4" w:space="0"/>
            </w:tcBorders>
            <w:shd w:val="clear" w:color="000000" w:fill="auto"/>
            <w:vAlign w:val="center"/>
          </w:tcPr>
          <w:p>
            <w:pPr>
              <w:rPr>
                <w:rFonts w:ascii="宋体" w:hAnsi="宋体" w:cs="宋体"/>
                <w:szCs w:val="21"/>
              </w:rPr>
            </w:pPr>
            <w:r>
              <w:rPr>
                <w:rFonts w:hint="eastAsia" w:ascii="宋体" w:hAnsi="宋体" w:cs="宋体"/>
                <w:szCs w:val="21"/>
              </w:rPr>
              <w:t>1∶5万区域地质矿产调查1000平方千米，1∶5万化探1000平方千米，探槽2000立方米</w:t>
            </w:r>
          </w:p>
        </w:tc>
      </w:tr>
    </w:tbl>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41" w:name="_Toc29631"/>
      <w:r>
        <w:rPr>
          <w:rFonts w:hint="eastAsia" w:ascii="黑体" w:hAnsi="黑体" w:eastAsia="黑体" w:cs="宋体"/>
          <w:color w:val="auto"/>
          <w:kern w:val="2"/>
          <w:sz w:val="32"/>
          <w:szCs w:val="32"/>
          <w:lang w:val="en-US"/>
        </w:rPr>
        <w:t>二、矿产勘查工程</w:t>
      </w:r>
      <w:bookmarkEnd w:id="141"/>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落实自治区、地区规划在民丰县部署的重点勘查工程，结合民丰县重点成矿区带以往工作成果，着重开展硝尔库勒锑矿重点勘查区的勘查工作，加强老矿山深边部接替资源勘查，通过实施矿产资源勘查评价工程，率先在重点勘查区实现找矿突破，提高资源保障能力（专栏6-1）。</w:t>
      </w:r>
    </w:p>
    <w:p>
      <w:pPr>
        <w:adjustRightInd w:val="0"/>
        <w:snapToGrid w:val="0"/>
        <w:spacing w:line="560" w:lineRule="exact"/>
        <w:ind w:firstLine="421" w:firstLineChars="200"/>
        <w:rPr>
          <w:rFonts w:ascii="楷体" w:hAnsi="楷体" w:eastAsia="楷体" w:cs="宋体"/>
          <w:b/>
          <w:bCs/>
          <w:szCs w:val="21"/>
        </w:rPr>
      </w:pPr>
      <w:r>
        <w:rPr>
          <w:rFonts w:hint="eastAsia" w:ascii="楷体" w:hAnsi="楷体" w:eastAsia="楷体" w:cs="宋体"/>
          <w:b/>
          <w:bCs/>
          <w:szCs w:val="21"/>
        </w:rPr>
        <w:t>专栏6-1                民丰县重点矿产勘查工程情况表</w:t>
      </w:r>
    </w:p>
    <w:tbl>
      <w:tblPr>
        <w:tblStyle w:val="27"/>
        <w:tblW w:w="858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42"/>
        <w:gridCol w:w="824"/>
        <w:gridCol w:w="3009"/>
        <w:gridCol w:w="1362"/>
        <w:gridCol w:w="1142"/>
        <w:gridCol w:w="14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4" w:hRule="atLeast"/>
          <w:tblHeader/>
          <w:jc w:val="center"/>
        </w:trPr>
        <w:tc>
          <w:tcPr>
            <w:tcW w:w="842" w:type="dxa"/>
            <w:tcMar>
              <w:left w:w="57" w:type="dxa"/>
              <w:right w:w="57"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序号</w:t>
            </w:r>
          </w:p>
        </w:tc>
        <w:tc>
          <w:tcPr>
            <w:tcW w:w="824" w:type="dxa"/>
            <w:tcMar>
              <w:left w:w="57" w:type="dxa"/>
              <w:right w:w="57"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编号</w:t>
            </w:r>
          </w:p>
        </w:tc>
        <w:tc>
          <w:tcPr>
            <w:tcW w:w="3009" w:type="dxa"/>
            <w:tcMar>
              <w:left w:w="57" w:type="dxa"/>
              <w:right w:w="57"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勘查工程名称</w:t>
            </w:r>
          </w:p>
        </w:tc>
        <w:tc>
          <w:tcPr>
            <w:tcW w:w="1362" w:type="dxa"/>
            <w:tcMar>
              <w:left w:w="57" w:type="dxa"/>
              <w:right w:w="57" w:type="dxa"/>
            </w:tcMar>
            <w:vAlign w:val="center"/>
          </w:tcPr>
          <w:p>
            <w:pPr>
              <w:adjustRightInd w:val="0"/>
              <w:snapToGrid w:val="0"/>
              <w:jc w:val="center"/>
              <w:rPr>
                <w:rFonts w:ascii="宋体" w:hAnsi="宋体" w:cs="宋体"/>
                <w:bCs/>
                <w:kern w:val="0"/>
                <w:szCs w:val="21"/>
              </w:rPr>
            </w:pPr>
            <w:r>
              <w:rPr>
                <w:rFonts w:hint="eastAsia" w:ascii="宋体" w:hAnsi="宋体" w:cs="宋体"/>
                <w:bCs/>
                <w:kern w:val="0"/>
                <w:szCs w:val="21"/>
              </w:rPr>
              <w:t>类别</w:t>
            </w:r>
          </w:p>
        </w:tc>
        <w:tc>
          <w:tcPr>
            <w:tcW w:w="1142" w:type="dxa"/>
            <w:tcMar>
              <w:left w:w="57" w:type="dxa"/>
              <w:right w:w="57" w:type="dxa"/>
            </w:tcMar>
            <w:vAlign w:val="center"/>
          </w:tcPr>
          <w:p>
            <w:pPr>
              <w:adjustRightInd w:val="0"/>
              <w:snapToGrid w:val="0"/>
              <w:jc w:val="center"/>
              <w:rPr>
                <w:rFonts w:ascii="宋体" w:hAnsi="宋体" w:cs="宋体"/>
                <w:bCs/>
                <w:kern w:val="0"/>
                <w:szCs w:val="21"/>
              </w:rPr>
            </w:pPr>
            <w:r>
              <w:rPr>
                <w:rFonts w:hint="eastAsia" w:ascii="宋体" w:hAnsi="宋体" w:cs="宋体"/>
                <w:bCs/>
                <w:kern w:val="0"/>
                <w:szCs w:val="21"/>
              </w:rPr>
              <w:t>区块面积(km</w:t>
            </w:r>
            <w:r>
              <w:rPr>
                <w:rFonts w:hint="eastAsia" w:ascii="宋体" w:hAnsi="宋体" w:cs="宋体"/>
                <w:bCs/>
                <w:kern w:val="0"/>
                <w:szCs w:val="21"/>
                <w:vertAlign w:val="superscript"/>
              </w:rPr>
              <w:t>2</w:t>
            </w:r>
            <w:r>
              <w:rPr>
                <w:rFonts w:hint="eastAsia" w:ascii="宋体" w:hAnsi="宋体" w:cs="宋体"/>
                <w:bCs/>
                <w:kern w:val="0"/>
                <w:szCs w:val="21"/>
              </w:rPr>
              <w:t>)</w:t>
            </w:r>
          </w:p>
        </w:tc>
        <w:tc>
          <w:tcPr>
            <w:tcW w:w="1406" w:type="dxa"/>
            <w:tcMar>
              <w:left w:w="57" w:type="dxa"/>
              <w:right w:w="57" w:type="dxa"/>
            </w:tcMar>
            <w:vAlign w:val="center"/>
          </w:tcPr>
          <w:p>
            <w:pPr>
              <w:adjustRightInd w:val="0"/>
              <w:snapToGrid w:val="0"/>
              <w:jc w:val="center"/>
              <w:rPr>
                <w:rFonts w:ascii="宋体" w:hAnsi="宋体" w:cs="宋体"/>
                <w:bCs/>
                <w:kern w:val="0"/>
                <w:szCs w:val="21"/>
              </w:rPr>
            </w:pPr>
            <w:r>
              <w:rPr>
                <w:rFonts w:hint="eastAsia" w:ascii="宋体" w:hAnsi="宋体" w:cs="宋体"/>
                <w:bCs/>
                <w:kern w:val="0"/>
                <w:szCs w:val="21"/>
              </w:rPr>
              <w:t>主要矿种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9" w:hRule="atLeast"/>
          <w:tblHeader/>
          <w:jc w:val="center"/>
        </w:trPr>
        <w:tc>
          <w:tcPr>
            <w:tcW w:w="842" w:type="dxa"/>
            <w:tcMar>
              <w:left w:w="57" w:type="dxa"/>
              <w:right w:w="57"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1</w:t>
            </w:r>
          </w:p>
        </w:tc>
        <w:tc>
          <w:tcPr>
            <w:tcW w:w="824" w:type="dxa"/>
            <w:tcMar>
              <w:left w:w="57" w:type="dxa"/>
              <w:right w:w="57" w:type="dxa"/>
            </w:tcMar>
            <w:vAlign w:val="center"/>
          </w:tcPr>
          <w:p>
            <w:pPr>
              <w:jc w:val="center"/>
              <w:rPr>
                <w:rFonts w:ascii="宋体" w:hAnsi="宋体" w:cs="宋体"/>
                <w:kern w:val="0"/>
                <w:szCs w:val="21"/>
              </w:rPr>
            </w:pPr>
            <w:r>
              <w:rPr>
                <w:rFonts w:hint="eastAsia" w:ascii="宋体" w:hAnsi="宋体" w:cs="宋体"/>
                <w:kern w:val="0"/>
                <w:szCs w:val="21"/>
              </w:rPr>
              <w:t>KZ001</w:t>
            </w:r>
          </w:p>
        </w:tc>
        <w:tc>
          <w:tcPr>
            <w:tcW w:w="3009" w:type="dxa"/>
            <w:tcMar>
              <w:left w:w="57" w:type="dxa"/>
              <w:right w:w="57"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民丰县硝尔库勒锑矿重点调查评价</w:t>
            </w:r>
          </w:p>
        </w:tc>
        <w:tc>
          <w:tcPr>
            <w:tcW w:w="1362" w:type="dxa"/>
            <w:tcMar>
              <w:left w:w="57" w:type="dxa"/>
              <w:right w:w="57"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重点勘</w:t>
            </w:r>
          </w:p>
          <w:p>
            <w:pPr>
              <w:adjustRightInd w:val="0"/>
              <w:snapToGrid w:val="0"/>
              <w:jc w:val="center"/>
              <w:rPr>
                <w:rFonts w:ascii="宋体" w:hAnsi="宋体" w:cs="宋体"/>
                <w:kern w:val="0"/>
                <w:szCs w:val="21"/>
              </w:rPr>
            </w:pPr>
            <w:r>
              <w:rPr>
                <w:rFonts w:hint="eastAsia" w:ascii="宋体" w:hAnsi="宋体" w:cs="宋体"/>
                <w:kern w:val="0"/>
                <w:szCs w:val="21"/>
              </w:rPr>
              <w:t>查工程</w:t>
            </w:r>
          </w:p>
        </w:tc>
        <w:tc>
          <w:tcPr>
            <w:tcW w:w="1142" w:type="dxa"/>
            <w:tcMar>
              <w:left w:w="57" w:type="dxa"/>
              <w:right w:w="57"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800</w:t>
            </w:r>
          </w:p>
        </w:tc>
        <w:tc>
          <w:tcPr>
            <w:tcW w:w="1406" w:type="dxa"/>
            <w:tcMar>
              <w:left w:w="57" w:type="dxa"/>
              <w:right w:w="57" w:type="dxa"/>
            </w:tcMar>
            <w:vAlign w:val="center"/>
          </w:tcPr>
          <w:p>
            <w:pPr>
              <w:adjustRightInd w:val="0"/>
              <w:snapToGrid w:val="0"/>
              <w:jc w:val="center"/>
              <w:rPr>
                <w:rFonts w:ascii="宋体" w:hAnsi="宋体" w:cs="宋体"/>
                <w:bCs/>
                <w:kern w:val="0"/>
                <w:szCs w:val="21"/>
              </w:rPr>
            </w:pPr>
            <w:r>
              <w:rPr>
                <w:rFonts w:hint="eastAsia" w:ascii="宋体" w:hAnsi="宋体" w:cs="宋体"/>
                <w:bCs/>
                <w:kern w:val="0"/>
                <w:szCs w:val="21"/>
              </w:rPr>
              <w:t>锑</w:t>
            </w:r>
          </w:p>
        </w:tc>
      </w:tr>
    </w:tbl>
    <w:p>
      <w:pPr>
        <w:pStyle w:val="4"/>
        <w:adjustRightInd w:val="0"/>
        <w:snapToGrid w:val="0"/>
        <w:spacing w:before="240" w:after="0" w:line="360" w:lineRule="auto"/>
        <w:jc w:val="center"/>
        <w:rPr>
          <w:rFonts w:ascii="宋体" w:hAnsi="宋体" w:cs="宋体"/>
        </w:rPr>
      </w:pPr>
      <w:bookmarkStart w:id="142" w:name="_Toc19426"/>
      <w:bookmarkStart w:id="143" w:name="_Toc4748"/>
      <w:bookmarkStart w:id="144" w:name="_Toc67682268"/>
      <w:r>
        <w:rPr>
          <w:rFonts w:hint="eastAsia" w:ascii="宋体" w:hAnsi="宋体" w:cs="宋体"/>
        </w:rPr>
        <w:t>第二节  矿产资源开发利用与保护项目</w:t>
      </w:r>
      <w:bookmarkEnd w:id="142"/>
      <w:bookmarkEnd w:id="143"/>
      <w:bookmarkEnd w:id="144"/>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45" w:name="_Toc9766"/>
      <w:bookmarkStart w:id="146" w:name="_Toc67682269"/>
      <w:r>
        <w:rPr>
          <w:rFonts w:hint="eastAsia" w:ascii="黑体" w:hAnsi="黑体" w:eastAsia="黑体" w:cs="宋体"/>
          <w:color w:val="auto"/>
          <w:kern w:val="2"/>
          <w:sz w:val="32"/>
          <w:szCs w:val="32"/>
          <w:lang w:val="en-US"/>
        </w:rPr>
        <w:t>一、矿产资源开发利用与保护工程</w:t>
      </w:r>
      <w:bookmarkEnd w:id="145"/>
      <w:bookmarkEnd w:id="146"/>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在未来开采的金属矿山过程中，通过实施资源开发利用与保护工程，促进矿产资源开发利用向集约节约化方向发展，提升资源开发利用水平，带动资源的高效合理利用。</w:t>
      </w:r>
    </w:p>
    <w:p>
      <w:pPr>
        <w:pStyle w:val="5"/>
        <w:widowControl w:val="0"/>
        <w:adjustRightInd w:val="0"/>
        <w:snapToGrid w:val="0"/>
        <w:spacing w:before="0" w:line="560" w:lineRule="exact"/>
        <w:ind w:firstLine="642" w:firstLineChars="200"/>
        <w:jc w:val="both"/>
        <w:rPr>
          <w:rFonts w:ascii="黑体" w:hAnsi="黑体" w:eastAsia="黑体" w:cs="宋体"/>
          <w:color w:val="auto"/>
          <w:kern w:val="2"/>
          <w:sz w:val="32"/>
          <w:szCs w:val="32"/>
          <w:lang w:val="en-US"/>
        </w:rPr>
      </w:pPr>
      <w:bookmarkStart w:id="147" w:name="_Toc67682270"/>
      <w:bookmarkStart w:id="148" w:name="_Toc22783"/>
      <w:r>
        <w:rPr>
          <w:rFonts w:hint="eastAsia" w:ascii="黑体" w:hAnsi="黑体" w:eastAsia="黑体" w:cs="宋体"/>
          <w:color w:val="auto"/>
          <w:kern w:val="2"/>
          <w:sz w:val="32"/>
          <w:szCs w:val="32"/>
          <w:lang w:val="en-US"/>
        </w:rPr>
        <w:t>二、矿产资源节约与综合利用</w:t>
      </w:r>
      <w:bookmarkEnd w:id="147"/>
      <w:r>
        <w:rPr>
          <w:rFonts w:hint="eastAsia" w:ascii="黑体" w:hAnsi="黑体" w:eastAsia="黑体" w:cs="宋体"/>
          <w:color w:val="auto"/>
          <w:kern w:val="2"/>
          <w:sz w:val="32"/>
          <w:szCs w:val="32"/>
          <w:lang w:val="en-US"/>
        </w:rPr>
        <w:t>工程</w:t>
      </w:r>
      <w:bookmarkEnd w:id="148"/>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在未来开采的金属矿山过程中，通过实施资源节约与综合利用工程，盘活原来未加以利用的呆滞资源，提高低品位、共伴生、难选冶和尾砂等资源的综合利用率，使有限的资源充分发挥其经济效益。</w:t>
      </w:r>
    </w:p>
    <w:p>
      <w:pPr>
        <w:pStyle w:val="4"/>
        <w:adjustRightInd w:val="0"/>
        <w:snapToGrid w:val="0"/>
        <w:spacing w:before="240" w:after="0" w:line="360" w:lineRule="auto"/>
        <w:jc w:val="center"/>
        <w:rPr>
          <w:rFonts w:ascii="宋体" w:hAnsi="宋体" w:cs="宋体"/>
        </w:rPr>
      </w:pPr>
      <w:bookmarkStart w:id="149" w:name="_Toc67682271"/>
      <w:r>
        <w:rPr>
          <w:rFonts w:hint="eastAsia" w:ascii="宋体" w:hAnsi="宋体" w:cs="宋体"/>
        </w:rPr>
        <w:t xml:space="preserve"> </w:t>
      </w:r>
      <w:bookmarkStart w:id="150" w:name="_Toc1687"/>
      <w:bookmarkStart w:id="151" w:name="_Toc32377"/>
      <w:r>
        <w:rPr>
          <w:rFonts w:hint="eastAsia" w:ascii="宋体" w:hAnsi="宋体" w:cs="宋体"/>
        </w:rPr>
        <w:t>第三节  矿山地质环境治理恢复与矿区生态修复保护项目</w:t>
      </w:r>
      <w:bookmarkEnd w:id="149"/>
      <w:bookmarkEnd w:id="150"/>
      <w:bookmarkEnd w:id="151"/>
    </w:p>
    <w:p>
      <w:pPr>
        <w:pStyle w:val="22"/>
        <w:ind w:firstLine="640"/>
        <w:rPr>
          <w:rFonts w:ascii="仿宋_GB2312" w:hAnsi="仿宋" w:cs="宋体"/>
          <w:sz w:val="32"/>
          <w:szCs w:val="32"/>
        </w:rPr>
      </w:pPr>
      <w:r>
        <w:rPr>
          <w:rFonts w:hint="eastAsia" w:ascii="仿宋_GB2312" w:hAnsi="仿宋" w:cs="宋体"/>
          <w:sz w:val="32"/>
          <w:szCs w:val="32"/>
        </w:rPr>
        <w:t>根据矿山地质环境问题类型、分布特征及其危害程度，以国家级、自治区级重点矿区和矿山地质环境问题严重的矿区为重点，落实自治区规划中地质环境重点治理项目，规划县城集镇附近的建筑用砂、取土后的开采坑为重点治理恢复和复垦地区。本轮规划期间，计划完成地质环境恢复治理和生态修复保护面积1平方千米，其中0.46平方千米为第三轮规划中未治理遗留区域，0.54平方千米为第四轮规划中预留边开采边治理范围。</w:t>
      </w:r>
    </w:p>
    <w:p>
      <w:pPr>
        <w:pStyle w:val="22"/>
        <w:ind w:firstLine="640"/>
        <w:rPr>
          <w:rFonts w:ascii="仿宋_GB2312" w:hAnsi="仿宋" w:cs="宋体"/>
          <w:sz w:val="32"/>
          <w:szCs w:val="32"/>
        </w:rPr>
      </w:pPr>
      <w:r>
        <w:rPr>
          <w:rFonts w:hint="eastAsia" w:ascii="仿宋_GB2312" w:hAnsi="仿宋" w:cs="宋体"/>
          <w:sz w:val="32"/>
          <w:szCs w:val="32"/>
        </w:rPr>
        <w:t>具体项目为民丰县叶亦克建筑用砂矿治理面积0.22平方千米，尼雅乡2号建筑用砂矿治理面积0.24平方千米，合计0.46平方千米。</w:t>
      </w:r>
    </w:p>
    <w:p>
      <w:pPr>
        <w:pStyle w:val="22"/>
        <w:ind w:firstLine="640"/>
        <w:rPr>
          <w:rFonts w:ascii="仿宋_GB2312" w:hAnsi="仿宋"/>
          <w:sz w:val="32"/>
          <w:szCs w:val="32"/>
        </w:rPr>
      </w:pPr>
    </w:p>
    <w:p>
      <w:pPr>
        <w:pStyle w:val="3"/>
        <w:spacing w:before="120" w:after="120" w:line="360" w:lineRule="auto"/>
        <w:jc w:val="center"/>
        <w:rPr>
          <w:rFonts w:ascii="宋体" w:hAnsi="宋体" w:cs="宋体"/>
        </w:rPr>
      </w:pPr>
      <w:bookmarkStart w:id="152" w:name="_Toc13716"/>
      <w:bookmarkStart w:id="153" w:name="_Toc2863"/>
      <w:bookmarkStart w:id="154" w:name="_Toc490777291"/>
      <w:r>
        <w:rPr>
          <w:rFonts w:hint="eastAsia" w:ascii="宋体" w:hAnsi="宋体" w:cs="宋体"/>
        </w:rPr>
        <w:t>第七章  规划实施与管理</w:t>
      </w:r>
      <w:bookmarkEnd w:id="152"/>
      <w:bookmarkEnd w:id="153"/>
      <w:bookmarkEnd w:id="154"/>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为满足全县社会经济发展对地质矿产工作的需要，加强政策引导，进行必要的组织管理，建立和完善可行的经济措施，确保《规划》的实施。</w:t>
      </w:r>
    </w:p>
    <w:p>
      <w:pPr>
        <w:pStyle w:val="4"/>
        <w:adjustRightInd w:val="0"/>
        <w:snapToGrid w:val="0"/>
        <w:spacing w:before="240" w:after="0" w:line="360" w:lineRule="auto"/>
        <w:jc w:val="center"/>
        <w:rPr>
          <w:rFonts w:ascii="宋体" w:hAnsi="宋体" w:cs="宋体"/>
        </w:rPr>
      </w:pPr>
      <w:bookmarkStart w:id="155" w:name="_Toc23919"/>
      <w:bookmarkStart w:id="156" w:name="_Toc490777292"/>
      <w:bookmarkStart w:id="157" w:name="_Toc2065"/>
      <w:r>
        <w:rPr>
          <w:rFonts w:hint="eastAsia" w:ascii="宋体" w:hAnsi="宋体" w:cs="宋体"/>
        </w:rPr>
        <w:t>第一节  建立完善规划实施目标责任考核制度</w:t>
      </w:r>
      <w:bookmarkEnd w:id="155"/>
      <w:bookmarkEnd w:id="156"/>
      <w:bookmarkEnd w:id="157"/>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建立健全《规划》实施管理的领导责任制度和目标责任考核制度，明确责任目标、考核内容和考核办法。</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高度重视本辖区内的矿产资源勘查开发和矿山地质环境保护与治理工作，积极配合国家和自治区开展重大工程和重大地质找矿项目，整顿和规范矿产资源开发秩序；实行领导责任制，做好矿产资源规划的实施和协调管理，确保认识到位、责任到位、投入到位，确保完成各项规划目标任务。</w:t>
      </w:r>
    </w:p>
    <w:p>
      <w:pPr>
        <w:pStyle w:val="4"/>
        <w:adjustRightInd w:val="0"/>
        <w:snapToGrid w:val="0"/>
        <w:spacing w:before="240" w:after="0" w:line="360" w:lineRule="auto"/>
        <w:jc w:val="center"/>
        <w:rPr>
          <w:rFonts w:ascii="宋体" w:hAnsi="宋体" w:cs="宋体"/>
        </w:rPr>
      </w:pPr>
      <w:bookmarkStart w:id="158" w:name="_Toc490777293"/>
      <w:bookmarkStart w:id="159" w:name="_Toc6414"/>
      <w:bookmarkStart w:id="160" w:name="_Toc1243"/>
      <w:r>
        <w:rPr>
          <w:rFonts w:hint="eastAsia" w:ascii="宋体" w:hAnsi="宋体" w:cs="宋体"/>
        </w:rPr>
        <w:t>第二节  健全完善规划审查制度</w:t>
      </w:r>
      <w:bookmarkEnd w:id="158"/>
      <w:bookmarkEnd w:id="159"/>
      <w:bookmarkEnd w:id="160"/>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核发探矿权许可证和采矿权许可证必须符合《规划》要求，禁止在禁止开采区内新设固体矿产采矿权； 限制勘查区或限制开采区内新设有关勘查或开采项目必须经过规划审查，严格核发矿业权许可证。对不符合《规划》的勘查、开采项目不得颁发矿业权证，不得批准用地。按照矿业权证核发权限，规范管理探矿权、采矿权许可证发放，严禁违反国家产业政策、越级发放矿业权许可证。重大勘查、开发与保护工程，必须实施规划审查制度，严格规划空间管控，严格实施总量调控。</w:t>
      </w:r>
    </w:p>
    <w:p>
      <w:pPr>
        <w:pStyle w:val="4"/>
        <w:adjustRightInd w:val="0"/>
        <w:snapToGrid w:val="0"/>
        <w:spacing w:before="240" w:after="0" w:line="360" w:lineRule="auto"/>
        <w:jc w:val="center"/>
        <w:rPr>
          <w:rFonts w:ascii="宋体" w:hAnsi="宋体" w:cs="宋体"/>
        </w:rPr>
      </w:pPr>
      <w:bookmarkStart w:id="161" w:name="_Toc490777294"/>
      <w:bookmarkStart w:id="162" w:name="_Toc14669"/>
      <w:bookmarkStart w:id="163" w:name="_Toc15645"/>
      <w:r>
        <w:rPr>
          <w:rFonts w:hint="eastAsia" w:ascii="宋体" w:hAnsi="宋体" w:cs="宋体"/>
        </w:rPr>
        <w:t>第三节  健全完善规划实施评估调整机制</w:t>
      </w:r>
      <w:bookmarkEnd w:id="161"/>
      <w:bookmarkEnd w:id="162"/>
      <w:bookmarkEnd w:id="163"/>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开展《规划》实施情况的中期评估，总结《规划》实施的经验与不足，分析《规划》实施存在的问题，研究矿产资源开发与管理面临的新形势，提出《规划》调整或修编的政策建议和调整方案，调整后经原批准机关同意后实施，以不断增强《规划》的操作性、针对性。</w:t>
      </w:r>
    </w:p>
    <w:p>
      <w:pPr>
        <w:pStyle w:val="4"/>
        <w:adjustRightInd w:val="0"/>
        <w:snapToGrid w:val="0"/>
        <w:spacing w:before="240" w:after="0" w:line="360" w:lineRule="auto"/>
        <w:jc w:val="center"/>
        <w:rPr>
          <w:rFonts w:ascii="宋体" w:hAnsi="宋体" w:cs="宋体"/>
        </w:rPr>
      </w:pPr>
      <w:bookmarkStart w:id="164" w:name="_Toc16905"/>
      <w:bookmarkStart w:id="165" w:name="_Toc17607"/>
      <w:bookmarkStart w:id="166" w:name="_Toc490777295"/>
      <w:r>
        <w:rPr>
          <w:rFonts w:hint="eastAsia" w:ascii="宋体" w:hAnsi="宋体" w:cs="宋体"/>
        </w:rPr>
        <w:t>第四节  加强规划实施情况监督检查</w:t>
      </w:r>
      <w:bookmarkEnd w:id="164"/>
      <w:bookmarkEnd w:id="165"/>
      <w:bookmarkEnd w:id="166"/>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加强勘查开发活动和矿产资源储量的动态监督管理制度，严格实行矿业权人勘查开采信息公示制度；按照国家产业政策，依法设立矿权，并加强监管；实行开采总量控制管理，开采不得突破上级下达的控制指标。</w:t>
      </w:r>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加强对矿产资源规划实施情况的监督检查，发现不符合矿产资源规划的地质勘查、矿产资源开发利用与生态修复保护等活动，及时予以纠正。</w:t>
      </w:r>
    </w:p>
    <w:p>
      <w:pPr>
        <w:pStyle w:val="4"/>
        <w:adjustRightInd w:val="0"/>
        <w:snapToGrid w:val="0"/>
        <w:spacing w:before="240" w:after="0" w:line="360" w:lineRule="auto"/>
        <w:jc w:val="center"/>
        <w:rPr>
          <w:rFonts w:ascii="宋体" w:hAnsi="宋体" w:cs="宋体"/>
        </w:rPr>
      </w:pPr>
      <w:bookmarkStart w:id="167" w:name="_Toc490777296"/>
      <w:bookmarkStart w:id="168" w:name="_Toc15723"/>
      <w:bookmarkStart w:id="169" w:name="_Toc27931"/>
      <w:r>
        <w:rPr>
          <w:rFonts w:hint="eastAsia" w:ascii="宋体" w:hAnsi="宋体" w:cs="宋体"/>
        </w:rPr>
        <w:t>第五节  提高规划管理信息化水平</w:t>
      </w:r>
      <w:bookmarkEnd w:id="167"/>
      <w:bookmarkEnd w:id="168"/>
      <w:bookmarkEnd w:id="169"/>
    </w:p>
    <w:p>
      <w:pPr>
        <w:widowControl/>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加强《规划》信息系统建设，完善数据库。强化规划实施管理的动态监测，及时准确地掌握全县重点矿区、重点矿山、重点矿种矿产资源储量、利用水平、矿山地质环境等的动态变化，为各项管理业务提供全面、透明、精准的信息数据支撑；进一步加强互联网全面推进政府信息公开，提供信息服务，网上办公和政民互动功能；促进矿政管理的科学化和现代化，提高服务社会水平。</w:t>
      </w:r>
    </w:p>
    <w:p>
      <w:pPr>
        <w:pStyle w:val="4"/>
        <w:adjustRightInd w:val="0"/>
        <w:snapToGrid w:val="0"/>
        <w:spacing w:before="240" w:after="0" w:line="360" w:lineRule="auto"/>
        <w:jc w:val="center"/>
        <w:rPr>
          <w:rFonts w:ascii="宋体" w:hAnsi="宋体" w:cs="宋体"/>
        </w:rPr>
      </w:pPr>
      <w:bookmarkStart w:id="170" w:name="_Toc490777297"/>
      <w:bookmarkStart w:id="171" w:name="_Toc1098"/>
      <w:bookmarkStart w:id="172" w:name="_Toc21635"/>
      <w:r>
        <w:rPr>
          <w:rFonts w:hint="eastAsia" w:ascii="宋体" w:hAnsi="宋体" w:cs="宋体"/>
        </w:rPr>
        <w:t>第六节  强化安全生产管理</w:t>
      </w:r>
      <w:bookmarkEnd w:id="170"/>
      <w:bookmarkEnd w:id="171"/>
      <w:bookmarkEnd w:id="172"/>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安全生产是关系到国家和人民群众生命财产的安全和人民群众的切身利益的大事，安全管理最根本的目的是保护人民的生命和健康，安全工作是一项常抓不懈的工作，是生产的保证，也是员工效益的最大体现。</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要把安全生产管理纳入矿产资源规划中，健全安全投入保障制度。及时研究部署安全生产工作，严格落实属地监管责任。充分发挥矿山及金属冶炼等企业所在安全生产委员会作用，实施安全生产责任目标管理。加强安全生产监管执法能力建设，推进安全科技创新，提升信息化管理水平。严格安全准入标准，指导管控安全风险，督促整治重大隐患，强化源头治理。加强应急管理，完善安全生产应急救援体系。</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扎实推进资源整合，依靠技术进步，加强规范化管理，提升企业规模和安全生产水平。要依法严厉打击无证、超层越界开采等行为，坚决关闭污染环境、不具备安全生产条件的矿山企业，全面清查和纠正矿产资源开发管理中的各种违法违规行为。</w:t>
      </w:r>
    </w:p>
    <w:p>
      <w:pPr>
        <w:adjustRightInd w:val="0"/>
        <w:snapToGrid w:val="0"/>
        <w:spacing w:line="560" w:lineRule="exact"/>
        <w:ind w:firstLine="640" w:firstLineChars="200"/>
        <w:rPr>
          <w:rFonts w:ascii="仿宋_GB2312" w:hAnsi="仿宋" w:eastAsia="仿宋_GB2312" w:cs="Geneva"/>
          <w:sz w:val="32"/>
          <w:szCs w:val="32"/>
        </w:rPr>
      </w:pPr>
      <w:r>
        <w:rPr>
          <w:rFonts w:hint="eastAsia" w:ascii="仿宋_GB2312" w:hAnsi="仿宋" w:eastAsia="仿宋_GB2312" w:cs="宋体"/>
          <w:sz w:val="32"/>
          <w:szCs w:val="32"/>
        </w:rPr>
        <w:t>所有</w:t>
      </w:r>
      <w:r>
        <w:rPr>
          <w:rFonts w:hint="eastAsia" w:ascii="仿宋_GB2312" w:hAnsi="仿宋" w:eastAsia="仿宋_GB2312" w:cs="Geneva"/>
          <w:sz w:val="32"/>
          <w:szCs w:val="32"/>
        </w:rPr>
        <w:t>矿山企业要做到开采正规、系统完善、技术先进、工艺达标、作业规范、管理严格。要严格落实爆破作业和火工品管理制度，严防爆破和冒顶片帮事故；加大对采空区隐患治理，摸清采空区、废弃井积水以及地表移动带、陷落带范围内重大水体、导水构造的状况，制订和落实防洪、防透水、防火灾、排水措施，完善应急预案，坚决防止事故发生，防止次生地质灾害发生，有效遏制重特大事故发生。</w:t>
      </w:r>
    </w:p>
    <w:p>
      <w:pPr>
        <w:adjustRightInd w:val="0"/>
        <w:snapToGrid w:val="0"/>
        <w:spacing w:line="560" w:lineRule="exact"/>
        <w:ind w:firstLine="640" w:firstLineChars="200"/>
        <w:rPr>
          <w:rFonts w:ascii="仿宋_GB2312" w:hAnsi="仿宋" w:eastAsia="仿宋_GB2312" w:cs="Geneva"/>
          <w:sz w:val="32"/>
          <w:szCs w:val="32"/>
        </w:rPr>
      </w:pPr>
      <w:r>
        <w:rPr>
          <w:rFonts w:hint="eastAsia" w:ascii="仿宋_GB2312" w:hAnsi="仿宋" w:eastAsia="仿宋_GB2312" w:cs="Geneva"/>
          <w:sz w:val="32"/>
          <w:szCs w:val="32"/>
        </w:rPr>
        <w:t>其次健全矿山应急救援管理体制。按照政事分开原则，推进安全生产应急救援管理体制改革，强化行政管理职能，提高组织协调能力和现场救援时效。建设联动互通的应急救援指挥平台。依托公安消防、大型企业、工业园区等应急救援力量，加强矿山和危险化学品等应急救援基地和队伍建设，实行区域化应急救援资源共享。</w:t>
      </w: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Batang">
    <w:altName w:val="方正书宋_GBK"/>
    <w:panose1 w:val="02030600000101010101"/>
    <w:charset w:val="81"/>
    <w:family w:val="roman"/>
    <w:pitch w:val="default"/>
    <w:sig w:usb0="00000000" w:usb1="00000000" w:usb2="00000030" w:usb3="00000000" w:csb0="0008009F" w:csb1="00000000"/>
  </w:font>
  <w:font w:name="Arial">
    <w:altName w:val="Nimbus Roman No9 L"/>
    <w:panose1 w:val="020B0604020202020204"/>
    <w:charset w:val="00"/>
    <w:family w:val="swiss"/>
    <w:pitch w:val="default"/>
    <w:sig w:usb0="00000000" w:usb1="00000000" w:usb2="00000009" w:usb3="00000000" w:csb0="000001FF" w:csb1="00000000"/>
  </w:font>
  <w:font w:name="Microsoft YaHei UI">
    <w:altName w:val="Droid Sans Fallback"/>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Geneva">
    <w:altName w:val="Noto Sans CJK H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8"/>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_x0000_s3074" o:spid="_x0000_s3074"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8"/>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B2557"/>
    <w:multiLevelType w:val="singleLevel"/>
    <w:tmpl w:val="99EB2557"/>
    <w:lvl w:ilvl="0" w:tentative="0">
      <w:start w:val="1"/>
      <w:numFmt w:val="decimal"/>
      <w:suff w:val="nothing"/>
      <w:lvlText w:val="（%1）"/>
      <w:lvlJc w:val="left"/>
    </w:lvl>
  </w:abstractNum>
  <w:abstractNum w:abstractNumId="1">
    <w:nsid w:val="B449AB78"/>
    <w:multiLevelType w:val="singleLevel"/>
    <w:tmpl w:val="B449AB7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NotTrackMoves/>
  <w:documentProtection w:enforcement="0"/>
  <w:defaultTabStop w:val="420"/>
  <w:drawingGridVerticalSpacing w:val="156"/>
  <w:noPunctuationKerning w:val="true"/>
  <w:characterSpacingControl w:val="compressPunctuation"/>
  <w:hdrShapeDefaults>
    <o:shapelayout v:ext="edit">
      <o:idmap v:ext="edit" data="1,3"/>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Y2OWM0NDE1Y2Q4ZmM1N2JkOTFlYmQzMmM1MWQ3MDMifQ=="/>
  </w:docVars>
  <w:rsids>
    <w:rsidRoot w:val="00CD340B"/>
    <w:rsid w:val="00042977"/>
    <w:rsid w:val="000E7E71"/>
    <w:rsid w:val="0012256B"/>
    <w:rsid w:val="00133F92"/>
    <w:rsid w:val="00180CDC"/>
    <w:rsid w:val="002223CC"/>
    <w:rsid w:val="002365C6"/>
    <w:rsid w:val="0026110A"/>
    <w:rsid w:val="002A43FC"/>
    <w:rsid w:val="002B774B"/>
    <w:rsid w:val="002C4449"/>
    <w:rsid w:val="00301918"/>
    <w:rsid w:val="004F4081"/>
    <w:rsid w:val="007032FB"/>
    <w:rsid w:val="0081490C"/>
    <w:rsid w:val="00843510"/>
    <w:rsid w:val="009210AA"/>
    <w:rsid w:val="009A123C"/>
    <w:rsid w:val="009D5701"/>
    <w:rsid w:val="009E54E7"/>
    <w:rsid w:val="00A949F4"/>
    <w:rsid w:val="00AB1605"/>
    <w:rsid w:val="00B23C78"/>
    <w:rsid w:val="00B36E6A"/>
    <w:rsid w:val="00B43339"/>
    <w:rsid w:val="00B4364D"/>
    <w:rsid w:val="00B55915"/>
    <w:rsid w:val="00B863E0"/>
    <w:rsid w:val="00BA085A"/>
    <w:rsid w:val="00BF19D3"/>
    <w:rsid w:val="00C82F6D"/>
    <w:rsid w:val="00CD2F30"/>
    <w:rsid w:val="00CD340B"/>
    <w:rsid w:val="00CE5B54"/>
    <w:rsid w:val="00D05F50"/>
    <w:rsid w:val="00D276D9"/>
    <w:rsid w:val="00D5742F"/>
    <w:rsid w:val="00D6541C"/>
    <w:rsid w:val="00DB09A7"/>
    <w:rsid w:val="00DE2E0E"/>
    <w:rsid w:val="00E86E16"/>
    <w:rsid w:val="00EF0445"/>
    <w:rsid w:val="00F52CCD"/>
    <w:rsid w:val="00F95E73"/>
    <w:rsid w:val="01941722"/>
    <w:rsid w:val="01F069AD"/>
    <w:rsid w:val="02422785"/>
    <w:rsid w:val="02B93A83"/>
    <w:rsid w:val="03953A04"/>
    <w:rsid w:val="06820167"/>
    <w:rsid w:val="06CF686E"/>
    <w:rsid w:val="08FA104A"/>
    <w:rsid w:val="092A3D98"/>
    <w:rsid w:val="0B853FE3"/>
    <w:rsid w:val="0E405FEE"/>
    <w:rsid w:val="0E9C41A5"/>
    <w:rsid w:val="0F785ED1"/>
    <w:rsid w:val="0FD20B69"/>
    <w:rsid w:val="10D4182A"/>
    <w:rsid w:val="10F2465E"/>
    <w:rsid w:val="12B442BF"/>
    <w:rsid w:val="130F448C"/>
    <w:rsid w:val="15031F4C"/>
    <w:rsid w:val="165A4187"/>
    <w:rsid w:val="172B7CFC"/>
    <w:rsid w:val="18181E97"/>
    <w:rsid w:val="182E07B8"/>
    <w:rsid w:val="19E7558B"/>
    <w:rsid w:val="1A240C73"/>
    <w:rsid w:val="1DC80A69"/>
    <w:rsid w:val="1DDF068E"/>
    <w:rsid w:val="1EB606F1"/>
    <w:rsid w:val="1F5226E3"/>
    <w:rsid w:val="1F8F1319"/>
    <w:rsid w:val="20084FBB"/>
    <w:rsid w:val="21207866"/>
    <w:rsid w:val="218C4997"/>
    <w:rsid w:val="224A3AD1"/>
    <w:rsid w:val="239C7BFA"/>
    <w:rsid w:val="23C117AE"/>
    <w:rsid w:val="24352BC6"/>
    <w:rsid w:val="2487307B"/>
    <w:rsid w:val="25B03DE2"/>
    <w:rsid w:val="26034AD6"/>
    <w:rsid w:val="261A1293"/>
    <w:rsid w:val="27AB5699"/>
    <w:rsid w:val="27DC66A0"/>
    <w:rsid w:val="28526934"/>
    <w:rsid w:val="2A17081E"/>
    <w:rsid w:val="2A214EA4"/>
    <w:rsid w:val="2B9522CB"/>
    <w:rsid w:val="2BBD0B4F"/>
    <w:rsid w:val="2CE079AD"/>
    <w:rsid w:val="2D6D0895"/>
    <w:rsid w:val="2DFA397D"/>
    <w:rsid w:val="2FA84886"/>
    <w:rsid w:val="2FF81244"/>
    <w:rsid w:val="31596D23"/>
    <w:rsid w:val="324C36D1"/>
    <w:rsid w:val="32EB41C8"/>
    <w:rsid w:val="32FD32D5"/>
    <w:rsid w:val="33463EAF"/>
    <w:rsid w:val="35C87C71"/>
    <w:rsid w:val="366208C9"/>
    <w:rsid w:val="382C15D4"/>
    <w:rsid w:val="38373947"/>
    <w:rsid w:val="390A5AB6"/>
    <w:rsid w:val="39FB0130"/>
    <w:rsid w:val="3AB26BF4"/>
    <w:rsid w:val="3B7B2030"/>
    <w:rsid w:val="3BE940D8"/>
    <w:rsid w:val="3BF5376E"/>
    <w:rsid w:val="3E4D7725"/>
    <w:rsid w:val="3E622E91"/>
    <w:rsid w:val="3F865BC8"/>
    <w:rsid w:val="3FF23CF0"/>
    <w:rsid w:val="40801ABC"/>
    <w:rsid w:val="40DA73F3"/>
    <w:rsid w:val="412133EB"/>
    <w:rsid w:val="42382BB3"/>
    <w:rsid w:val="4260358D"/>
    <w:rsid w:val="42ED4F66"/>
    <w:rsid w:val="43386D6F"/>
    <w:rsid w:val="44A57024"/>
    <w:rsid w:val="44F3082D"/>
    <w:rsid w:val="451D2320"/>
    <w:rsid w:val="463646D9"/>
    <w:rsid w:val="46C26C9C"/>
    <w:rsid w:val="46C50D86"/>
    <w:rsid w:val="47140C9F"/>
    <w:rsid w:val="4971624B"/>
    <w:rsid w:val="499F0E56"/>
    <w:rsid w:val="49E80350"/>
    <w:rsid w:val="4AB655B1"/>
    <w:rsid w:val="4AC029D2"/>
    <w:rsid w:val="4B855A79"/>
    <w:rsid w:val="4BBF2155"/>
    <w:rsid w:val="4DD501D7"/>
    <w:rsid w:val="4E064EEA"/>
    <w:rsid w:val="4E1622A9"/>
    <w:rsid w:val="4E445B16"/>
    <w:rsid w:val="4E6920B3"/>
    <w:rsid w:val="503C33EB"/>
    <w:rsid w:val="508E61B5"/>
    <w:rsid w:val="51110D0D"/>
    <w:rsid w:val="5171202B"/>
    <w:rsid w:val="51920D5D"/>
    <w:rsid w:val="51AA41E9"/>
    <w:rsid w:val="51BB11A6"/>
    <w:rsid w:val="522877B3"/>
    <w:rsid w:val="53052442"/>
    <w:rsid w:val="531C38E2"/>
    <w:rsid w:val="53B005B4"/>
    <w:rsid w:val="54BF2F93"/>
    <w:rsid w:val="55592F33"/>
    <w:rsid w:val="55E11CBC"/>
    <w:rsid w:val="583F08E5"/>
    <w:rsid w:val="59186B39"/>
    <w:rsid w:val="591A2FA2"/>
    <w:rsid w:val="592D672A"/>
    <w:rsid w:val="5A5B3958"/>
    <w:rsid w:val="5AE4631E"/>
    <w:rsid w:val="5B836FB3"/>
    <w:rsid w:val="5D6A4A39"/>
    <w:rsid w:val="5FA13D7D"/>
    <w:rsid w:val="60243E0F"/>
    <w:rsid w:val="6062633D"/>
    <w:rsid w:val="634023E1"/>
    <w:rsid w:val="63903465"/>
    <w:rsid w:val="63FA2E95"/>
    <w:rsid w:val="64121BC7"/>
    <w:rsid w:val="67BB003D"/>
    <w:rsid w:val="680107B1"/>
    <w:rsid w:val="684E6A89"/>
    <w:rsid w:val="6A736F31"/>
    <w:rsid w:val="6BC333DB"/>
    <w:rsid w:val="6C654105"/>
    <w:rsid w:val="6CC86F75"/>
    <w:rsid w:val="6D131E03"/>
    <w:rsid w:val="6D164F86"/>
    <w:rsid w:val="6E28590B"/>
    <w:rsid w:val="6E293B49"/>
    <w:rsid w:val="6E3F4DCA"/>
    <w:rsid w:val="6EF73D14"/>
    <w:rsid w:val="70F71EF3"/>
    <w:rsid w:val="73C168FF"/>
    <w:rsid w:val="74AF57AA"/>
    <w:rsid w:val="754D1DF6"/>
    <w:rsid w:val="777D2671"/>
    <w:rsid w:val="77A9661B"/>
    <w:rsid w:val="77DE560C"/>
    <w:rsid w:val="7A6D6467"/>
    <w:rsid w:val="7B361733"/>
    <w:rsid w:val="7B7A5AC7"/>
    <w:rsid w:val="7F2351A1"/>
    <w:rsid w:val="7F96469C"/>
    <w:rsid w:val="7FCFF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99" w:semiHidden="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2"/>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9"/>
    <w:pPr>
      <w:keepNext/>
      <w:keepLines/>
      <w:widowControl/>
      <w:spacing w:before="200" w:line="276" w:lineRule="auto"/>
      <w:jc w:val="left"/>
      <w:outlineLvl w:val="2"/>
    </w:pPr>
    <w:rPr>
      <w:rFonts w:ascii="Cambria" w:hAnsi="Cambria"/>
      <w:b/>
      <w:bCs/>
      <w:color w:val="2DA2BF"/>
      <w:kern w:val="0"/>
      <w:sz w:val="22"/>
      <w:szCs w:val="20"/>
      <w:lang w:val="zh-CN"/>
    </w:rPr>
  </w:style>
  <w:style w:type="paragraph" w:styleId="6">
    <w:name w:val="heading 4"/>
    <w:basedOn w:val="1"/>
    <w:next w:val="1"/>
    <w:link w:val="53"/>
    <w:qFormat/>
    <w:uiPriority w:val="9"/>
    <w:pPr>
      <w:keepNext/>
      <w:keepLines/>
      <w:widowControl/>
      <w:spacing w:before="200" w:line="276" w:lineRule="auto"/>
      <w:jc w:val="left"/>
      <w:outlineLvl w:val="3"/>
    </w:pPr>
    <w:rPr>
      <w:rFonts w:ascii="Cambria" w:hAnsi="Cambria"/>
      <w:b/>
      <w:bCs/>
      <w:i/>
      <w:iCs/>
      <w:color w:val="2DA2BF"/>
      <w:kern w:val="0"/>
      <w:sz w:val="22"/>
      <w:szCs w:val="20"/>
      <w:lang w:val="zh-CN"/>
    </w:rPr>
  </w:style>
  <w:style w:type="paragraph" w:styleId="7">
    <w:name w:val="heading 5"/>
    <w:basedOn w:val="1"/>
    <w:next w:val="1"/>
    <w:link w:val="58"/>
    <w:qFormat/>
    <w:uiPriority w:val="9"/>
    <w:pPr>
      <w:keepNext/>
      <w:keepLines/>
      <w:widowControl/>
      <w:spacing w:before="200" w:line="276" w:lineRule="auto"/>
      <w:jc w:val="left"/>
      <w:outlineLvl w:val="4"/>
    </w:pPr>
    <w:rPr>
      <w:rFonts w:ascii="Cambria" w:hAnsi="Cambria"/>
      <w:color w:val="16505E"/>
      <w:kern w:val="0"/>
      <w:sz w:val="22"/>
      <w:szCs w:val="20"/>
      <w:lang w:val="zh-CN"/>
    </w:rPr>
  </w:style>
  <w:style w:type="paragraph" w:styleId="8">
    <w:name w:val="heading 6"/>
    <w:basedOn w:val="1"/>
    <w:next w:val="1"/>
    <w:link w:val="63"/>
    <w:qFormat/>
    <w:uiPriority w:val="9"/>
    <w:pPr>
      <w:keepNext/>
      <w:keepLines/>
      <w:spacing w:before="240" w:after="64" w:line="320" w:lineRule="auto"/>
      <w:outlineLvl w:val="5"/>
    </w:pPr>
    <w:rPr>
      <w:rFonts w:ascii="Cambria" w:hAnsi="Cambria"/>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kern w:val="0"/>
      <w:sz w:val="24"/>
    </w:rPr>
  </w:style>
  <w:style w:type="paragraph" w:styleId="9">
    <w:name w:val="Document Map"/>
    <w:basedOn w:val="1"/>
    <w:link w:val="61"/>
    <w:unhideWhenUsed/>
    <w:qFormat/>
    <w:uiPriority w:val="99"/>
    <w:rPr>
      <w:rFonts w:ascii="宋体" w:cs="黑体"/>
      <w:sz w:val="18"/>
      <w:szCs w:val="18"/>
    </w:rPr>
  </w:style>
  <w:style w:type="paragraph" w:styleId="10">
    <w:name w:val="annotation text"/>
    <w:basedOn w:val="1"/>
    <w:link w:val="66"/>
    <w:unhideWhenUsed/>
    <w:qFormat/>
    <w:uiPriority w:val="0"/>
    <w:pPr>
      <w:jc w:val="left"/>
    </w:pPr>
  </w:style>
  <w:style w:type="paragraph" w:styleId="11">
    <w:name w:val="Body Text"/>
    <w:basedOn w:val="1"/>
    <w:link w:val="75"/>
    <w:unhideWhenUsed/>
    <w:qFormat/>
    <w:uiPriority w:val="99"/>
    <w:pPr>
      <w:spacing w:after="120"/>
    </w:pPr>
  </w:style>
  <w:style w:type="paragraph" w:styleId="12">
    <w:name w:val="Body Text Indent"/>
    <w:basedOn w:val="1"/>
    <w:next w:val="11"/>
    <w:unhideWhenUsed/>
    <w:qFormat/>
    <w:uiPriority w:val="0"/>
    <w:pPr>
      <w:spacing w:after="120"/>
      <w:ind w:left="420" w:leftChars="200"/>
    </w:pPr>
  </w:style>
  <w:style w:type="paragraph" w:styleId="13">
    <w:name w:val="toc 3"/>
    <w:basedOn w:val="1"/>
    <w:next w:val="1"/>
    <w:qFormat/>
    <w:uiPriority w:val="39"/>
    <w:pPr>
      <w:ind w:left="840" w:leftChars="400"/>
    </w:pPr>
  </w:style>
  <w:style w:type="paragraph" w:styleId="14">
    <w:name w:val="Plain Text"/>
    <w:basedOn w:val="1"/>
    <w:link w:val="64"/>
    <w:qFormat/>
    <w:uiPriority w:val="0"/>
    <w:pPr>
      <w:spacing w:line="360" w:lineRule="auto"/>
      <w:ind w:firstLine="200" w:firstLineChars="200"/>
    </w:pPr>
    <w:rPr>
      <w:rFonts w:ascii="宋体" w:hAnsi="Courier New" w:cs="黑体"/>
      <w:sz w:val="28"/>
      <w:szCs w:val="21"/>
    </w:rPr>
  </w:style>
  <w:style w:type="paragraph" w:styleId="15">
    <w:name w:val="Date"/>
    <w:basedOn w:val="1"/>
    <w:next w:val="1"/>
    <w:link w:val="56"/>
    <w:unhideWhenUsed/>
    <w:qFormat/>
    <w:uiPriority w:val="99"/>
    <w:pPr>
      <w:ind w:left="100" w:leftChars="2500"/>
    </w:pPr>
  </w:style>
  <w:style w:type="paragraph" w:styleId="16">
    <w:name w:val="Body Text Indent 2"/>
    <w:basedOn w:val="1"/>
    <w:link w:val="54"/>
    <w:qFormat/>
    <w:uiPriority w:val="0"/>
    <w:pPr>
      <w:spacing w:line="360" w:lineRule="auto"/>
      <w:ind w:firstLine="480" w:firstLineChars="200"/>
    </w:pPr>
    <w:rPr>
      <w:rFonts w:cs="黑体"/>
      <w:sz w:val="24"/>
    </w:rPr>
  </w:style>
  <w:style w:type="paragraph" w:styleId="17">
    <w:name w:val="Balloon Text"/>
    <w:basedOn w:val="1"/>
    <w:link w:val="55"/>
    <w:unhideWhenUsed/>
    <w:qFormat/>
    <w:uiPriority w:val="99"/>
    <w:rPr>
      <w:rFonts w:cs="黑体"/>
      <w:sz w:val="18"/>
      <w:szCs w:val="18"/>
    </w:rPr>
  </w:style>
  <w:style w:type="paragraph" w:styleId="18">
    <w:name w:val="footer"/>
    <w:basedOn w:val="1"/>
    <w:link w:val="47"/>
    <w:unhideWhenUsed/>
    <w:qFormat/>
    <w:uiPriority w:val="99"/>
    <w:pPr>
      <w:tabs>
        <w:tab w:val="center" w:pos="4153"/>
        <w:tab w:val="right" w:pos="8306"/>
      </w:tabs>
      <w:snapToGrid w:val="0"/>
      <w:jc w:val="left"/>
    </w:pPr>
    <w:rPr>
      <w:rFonts w:cs="黑体"/>
      <w:sz w:val="18"/>
      <w:szCs w:val="18"/>
    </w:rPr>
  </w:style>
  <w:style w:type="paragraph" w:styleId="19">
    <w:name w:val="header"/>
    <w:basedOn w:val="1"/>
    <w:link w:val="57"/>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20">
    <w:name w:val="toc 1"/>
    <w:basedOn w:val="1"/>
    <w:next w:val="1"/>
    <w:unhideWhenUsed/>
    <w:qFormat/>
    <w:uiPriority w:val="39"/>
  </w:style>
  <w:style w:type="paragraph" w:styleId="21">
    <w:name w:val="toc 4"/>
    <w:basedOn w:val="1"/>
    <w:next w:val="1"/>
    <w:qFormat/>
    <w:uiPriority w:val="39"/>
    <w:pPr>
      <w:ind w:left="1260" w:leftChars="600"/>
    </w:pPr>
  </w:style>
  <w:style w:type="paragraph" w:styleId="22">
    <w:name w:val="Body Text Indent 3"/>
    <w:basedOn w:val="1"/>
    <w:link w:val="74"/>
    <w:unhideWhenUsed/>
    <w:qFormat/>
    <w:uiPriority w:val="99"/>
    <w:pPr>
      <w:ind w:left="-3" w:firstLine="602" w:firstLineChars="200"/>
    </w:pPr>
    <w:rPr>
      <w:rFonts w:eastAsia="仿宋_GB2312"/>
      <w:sz w:val="28"/>
    </w:rPr>
  </w:style>
  <w:style w:type="paragraph" w:styleId="23">
    <w:name w:val="toc 2"/>
    <w:basedOn w:val="1"/>
    <w:next w:val="1"/>
    <w:unhideWhenUsed/>
    <w:qFormat/>
    <w:uiPriority w:val="39"/>
    <w:pPr>
      <w:ind w:left="420" w:leftChars="200"/>
    </w:pPr>
  </w:style>
  <w:style w:type="paragraph" w:styleId="24">
    <w:name w:val="annotation subject"/>
    <w:basedOn w:val="10"/>
    <w:next w:val="10"/>
    <w:link w:val="62"/>
    <w:unhideWhenUsed/>
    <w:qFormat/>
    <w:uiPriority w:val="99"/>
    <w:rPr>
      <w:b/>
      <w:bCs/>
    </w:rPr>
  </w:style>
  <w:style w:type="paragraph" w:styleId="25">
    <w:name w:val="Body Text First Indent"/>
    <w:basedOn w:val="11"/>
    <w:unhideWhenUsed/>
    <w:qFormat/>
    <w:uiPriority w:val="0"/>
    <w:pPr>
      <w:ind w:firstLine="420" w:firstLineChars="100"/>
    </w:pPr>
  </w:style>
  <w:style w:type="paragraph" w:styleId="26">
    <w:name w:val="Body Text First Indent 2"/>
    <w:basedOn w:val="12"/>
    <w:next w:val="25"/>
    <w:unhideWhenUsed/>
    <w:qFormat/>
    <w:uiPriority w:val="0"/>
    <w:pPr>
      <w:spacing w:before="100" w:beforeAutospacing="1"/>
      <w:ind w:left="0" w:firstLine="420"/>
    </w:pPr>
    <w:rPr>
      <w:szCs w:val="21"/>
    </w:rPr>
  </w:style>
  <w:style w:type="table" w:styleId="28">
    <w:name w:val="Table Grid"/>
    <w:basedOn w:val="2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Emphasis"/>
    <w:qFormat/>
    <w:uiPriority w:val="20"/>
    <w:rPr>
      <w:i/>
    </w:rPr>
  </w:style>
  <w:style w:type="character" w:styleId="31">
    <w:name w:val="Hyperlink"/>
    <w:unhideWhenUsed/>
    <w:qFormat/>
    <w:uiPriority w:val="99"/>
    <w:rPr>
      <w:color w:val="0000FF"/>
      <w:u w:val="single"/>
    </w:rPr>
  </w:style>
  <w:style w:type="character" w:styleId="32">
    <w:name w:val="annotation reference"/>
    <w:unhideWhenUsed/>
    <w:qFormat/>
    <w:uiPriority w:val="99"/>
    <w:rPr>
      <w:sz w:val="21"/>
      <w:szCs w:val="21"/>
    </w:rPr>
  </w:style>
  <w:style w:type="paragraph" w:customStyle="1" w:styleId="33">
    <w:name w:val="图"/>
    <w:basedOn w:val="1"/>
    <w:link w:val="49"/>
    <w:qFormat/>
    <w:uiPriority w:val="0"/>
    <w:pPr>
      <w:snapToGrid w:val="0"/>
      <w:jc w:val="center"/>
    </w:pPr>
    <w:rPr>
      <w:rFonts w:cs="黑体"/>
      <w:b/>
      <w:sz w:val="24"/>
    </w:rPr>
  </w:style>
  <w:style w:type="paragraph" w:customStyle="1" w:styleId="34">
    <w:name w:val="无间隔1"/>
    <w:basedOn w:val="1"/>
    <w:link w:val="51"/>
    <w:qFormat/>
    <w:uiPriority w:val="1"/>
    <w:pPr>
      <w:snapToGrid w:val="0"/>
      <w:ind w:hanging="2"/>
      <w:jc w:val="center"/>
    </w:pPr>
    <w:rPr>
      <w:rFonts w:cs="黑体"/>
      <w:szCs w:val="21"/>
    </w:rPr>
  </w:style>
  <w:style w:type="paragraph" w:customStyle="1" w:styleId="35">
    <w:name w:val="_Style 37"/>
    <w:basedOn w:val="1"/>
    <w:next w:val="1"/>
    <w:unhideWhenUsed/>
    <w:qFormat/>
    <w:uiPriority w:val="39"/>
    <w:pPr>
      <w:ind w:left="210"/>
      <w:jc w:val="left"/>
    </w:pPr>
    <w:rPr>
      <w:smallCaps/>
      <w:sz w:val="20"/>
      <w:szCs w:val="20"/>
    </w:rPr>
  </w:style>
  <w:style w:type="paragraph" w:customStyle="1" w:styleId="36">
    <w:name w:val="正文+仿宋"/>
    <w:basedOn w:val="1"/>
    <w:qFormat/>
    <w:uiPriority w:val="0"/>
    <w:pPr>
      <w:widowControl/>
      <w:spacing w:line="360" w:lineRule="auto"/>
      <w:jc w:val="left"/>
    </w:pPr>
    <w:rPr>
      <w:rFonts w:ascii="Calibri" w:hAnsi="Calibri"/>
      <w:kern w:val="0"/>
      <w:sz w:val="24"/>
      <w:lang w:eastAsia="en-US" w:bidi="en-US"/>
    </w:rPr>
  </w:style>
  <w:style w:type="paragraph" w:customStyle="1" w:styleId="37">
    <w:name w:val="样式"/>
    <w:basedOn w:val="1"/>
    <w:qFormat/>
    <w:uiPriority w:val="0"/>
    <w:pPr>
      <w:autoSpaceDE w:val="0"/>
      <w:autoSpaceDN w:val="0"/>
      <w:adjustRightInd w:val="0"/>
      <w:jc w:val="left"/>
    </w:pPr>
    <w:rPr>
      <w:rFonts w:hint="eastAsia" w:ascii="Batang" w:eastAsia="Batang"/>
      <w:kern w:val="0"/>
      <w:sz w:val="24"/>
    </w:rPr>
  </w:style>
  <w:style w:type="paragraph" w:customStyle="1" w:styleId="38">
    <w:name w:val="列出段落1"/>
    <w:basedOn w:val="1"/>
    <w:qFormat/>
    <w:uiPriority w:val="99"/>
    <w:pPr>
      <w:ind w:firstLine="420" w:firstLineChars="200"/>
    </w:pPr>
  </w:style>
  <w:style w:type="paragraph" w:customStyle="1" w:styleId="39">
    <w:name w:val="表格内容"/>
    <w:qFormat/>
    <w:uiPriority w:val="0"/>
    <w:pPr>
      <w:overflowPunct w:val="0"/>
      <w:adjustRightInd w:val="0"/>
      <w:snapToGrid w:val="0"/>
      <w:spacing w:line="288" w:lineRule="auto"/>
    </w:pPr>
    <w:rPr>
      <w:rFonts w:ascii="宋体" w:hAnsi="Arial" w:eastAsia="宋体" w:cs="宋体"/>
      <w:sz w:val="24"/>
      <w:szCs w:val="24"/>
      <w:lang w:val="en-US" w:eastAsia="zh-CN" w:bidi="ar-SA"/>
    </w:rPr>
  </w:style>
  <w:style w:type="paragraph" w:customStyle="1" w:styleId="40">
    <w:name w:val="1  正  文"/>
    <w:qFormat/>
    <w:uiPriority w:val="0"/>
    <w:pPr>
      <w:widowControl w:val="0"/>
      <w:spacing w:line="360" w:lineRule="auto"/>
      <w:ind w:firstLine="493"/>
      <w:jc w:val="both"/>
    </w:pPr>
    <w:rPr>
      <w:rFonts w:ascii="Times New Roman" w:hAnsi="Times New Roman" w:eastAsia="宋体" w:cs="Times New Roman"/>
      <w:color w:val="000000"/>
      <w:sz w:val="24"/>
      <w:szCs w:val="24"/>
      <w:lang w:val="en-US" w:eastAsia="zh-CN" w:bidi="ar-SA"/>
    </w:rPr>
  </w:style>
  <w:style w:type="character" w:customStyle="1" w:styleId="41">
    <w:name w:val="标题 1 字符"/>
    <w:qFormat/>
    <w:uiPriority w:val="9"/>
    <w:rPr>
      <w:rFonts w:ascii="Times New Roman" w:hAnsi="Times New Roman" w:eastAsia="宋体" w:cs="Times New Roman"/>
      <w:b/>
      <w:bCs/>
      <w:kern w:val="44"/>
      <w:sz w:val="44"/>
      <w:szCs w:val="44"/>
    </w:rPr>
  </w:style>
  <w:style w:type="character" w:customStyle="1" w:styleId="42">
    <w:name w:val="标题 2 字符"/>
    <w:semiHidden/>
    <w:qFormat/>
    <w:uiPriority w:val="9"/>
    <w:rPr>
      <w:rFonts w:ascii="Cambria" w:hAnsi="Cambria" w:eastAsia="宋体" w:cs="黑体"/>
      <w:b/>
      <w:bCs/>
      <w:sz w:val="32"/>
      <w:szCs w:val="32"/>
    </w:rPr>
  </w:style>
  <w:style w:type="character" w:customStyle="1" w:styleId="43">
    <w:name w:val="标题 3 字符"/>
    <w:semiHidden/>
    <w:qFormat/>
    <w:uiPriority w:val="9"/>
    <w:rPr>
      <w:rFonts w:ascii="Times New Roman" w:hAnsi="Times New Roman" w:eastAsia="宋体" w:cs="Times New Roman"/>
      <w:b/>
      <w:bCs/>
      <w:sz w:val="32"/>
      <w:szCs w:val="32"/>
    </w:rPr>
  </w:style>
  <w:style w:type="character" w:customStyle="1" w:styleId="44">
    <w:name w:val="标题 4 字符"/>
    <w:semiHidden/>
    <w:qFormat/>
    <w:uiPriority w:val="9"/>
    <w:rPr>
      <w:rFonts w:ascii="Cambria" w:hAnsi="Cambria" w:eastAsia="宋体" w:cs="黑体"/>
      <w:b/>
      <w:bCs/>
      <w:sz w:val="28"/>
      <w:szCs w:val="28"/>
    </w:rPr>
  </w:style>
  <w:style w:type="character" w:customStyle="1" w:styleId="45">
    <w:name w:val="标题 5 字符"/>
    <w:semiHidden/>
    <w:qFormat/>
    <w:uiPriority w:val="9"/>
    <w:rPr>
      <w:rFonts w:ascii="Times New Roman" w:hAnsi="Times New Roman" w:eastAsia="宋体" w:cs="Times New Roman"/>
      <w:b/>
      <w:bCs/>
      <w:sz w:val="28"/>
      <w:szCs w:val="28"/>
    </w:rPr>
  </w:style>
  <w:style w:type="character" w:customStyle="1" w:styleId="46">
    <w:name w:val="标题 6 字符"/>
    <w:semiHidden/>
    <w:qFormat/>
    <w:uiPriority w:val="9"/>
    <w:rPr>
      <w:rFonts w:ascii="Cambria" w:hAnsi="Cambria" w:eastAsia="宋体" w:cs="黑体"/>
      <w:b/>
      <w:bCs/>
      <w:sz w:val="24"/>
      <w:szCs w:val="24"/>
    </w:rPr>
  </w:style>
  <w:style w:type="character" w:customStyle="1" w:styleId="47">
    <w:name w:val="页脚 字符1"/>
    <w:link w:val="18"/>
    <w:qFormat/>
    <w:uiPriority w:val="99"/>
    <w:rPr>
      <w:rFonts w:ascii="Times New Roman" w:hAnsi="Times New Roman"/>
      <w:sz w:val="18"/>
      <w:szCs w:val="18"/>
    </w:rPr>
  </w:style>
  <w:style w:type="character" w:customStyle="1" w:styleId="48">
    <w:name w:val="批注文字 Char"/>
    <w:qFormat/>
    <w:uiPriority w:val="0"/>
    <w:rPr>
      <w:rFonts w:ascii="Calibri" w:hAnsi="Calibri" w:eastAsia="宋体" w:cs="Times New Roman"/>
      <w:kern w:val="0"/>
      <w:sz w:val="22"/>
    </w:rPr>
  </w:style>
  <w:style w:type="character" w:customStyle="1" w:styleId="49">
    <w:name w:val="图 Char"/>
    <w:link w:val="33"/>
    <w:qFormat/>
    <w:uiPriority w:val="0"/>
    <w:rPr>
      <w:rFonts w:ascii="Times New Roman" w:hAnsi="Times New Roman"/>
      <w:b/>
      <w:sz w:val="24"/>
      <w:szCs w:val="24"/>
    </w:rPr>
  </w:style>
  <w:style w:type="character" w:customStyle="1" w:styleId="50">
    <w:name w:val="纯文本 Char1"/>
    <w:qFormat/>
    <w:uiPriority w:val="0"/>
    <w:rPr>
      <w:rFonts w:ascii="宋体" w:hAnsi="Courier New" w:cs="Courier New"/>
      <w:kern w:val="2"/>
      <w:sz w:val="21"/>
      <w:szCs w:val="21"/>
    </w:rPr>
  </w:style>
  <w:style w:type="character" w:customStyle="1" w:styleId="51">
    <w:name w:val="无间隔 字符"/>
    <w:link w:val="34"/>
    <w:qFormat/>
    <w:uiPriority w:val="1"/>
    <w:rPr>
      <w:rFonts w:ascii="Times New Roman" w:hAnsi="Times New Roman"/>
      <w:szCs w:val="21"/>
    </w:rPr>
  </w:style>
  <w:style w:type="character" w:customStyle="1" w:styleId="52">
    <w:name w:val="标题 2 字符1"/>
    <w:link w:val="4"/>
    <w:qFormat/>
    <w:uiPriority w:val="9"/>
    <w:rPr>
      <w:rFonts w:ascii="Cambria" w:hAnsi="Cambria" w:eastAsia="宋体" w:cs="Times New Roman"/>
      <w:b/>
      <w:bCs/>
      <w:sz w:val="32"/>
      <w:szCs w:val="32"/>
    </w:rPr>
  </w:style>
  <w:style w:type="character" w:customStyle="1" w:styleId="53">
    <w:name w:val="标题 4 字符1"/>
    <w:link w:val="6"/>
    <w:qFormat/>
    <w:uiPriority w:val="9"/>
    <w:rPr>
      <w:rFonts w:ascii="Cambria" w:hAnsi="Cambria" w:eastAsia="宋体" w:cs="Times New Roman"/>
      <w:b/>
      <w:bCs/>
      <w:i/>
      <w:iCs/>
      <w:color w:val="2DA2BF"/>
      <w:kern w:val="0"/>
      <w:sz w:val="22"/>
      <w:szCs w:val="20"/>
      <w:lang w:val="zh-CN" w:eastAsia="zh-CN"/>
    </w:rPr>
  </w:style>
  <w:style w:type="character" w:customStyle="1" w:styleId="54">
    <w:name w:val="正文文本缩进 2 字符1"/>
    <w:link w:val="16"/>
    <w:qFormat/>
    <w:uiPriority w:val="0"/>
    <w:rPr>
      <w:rFonts w:ascii="Times New Roman" w:hAnsi="Times New Roman"/>
      <w:sz w:val="24"/>
      <w:szCs w:val="24"/>
    </w:rPr>
  </w:style>
  <w:style w:type="character" w:customStyle="1" w:styleId="55">
    <w:name w:val="批注框文本 字符1"/>
    <w:link w:val="17"/>
    <w:qFormat/>
    <w:uiPriority w:val="99"/>
    <w:rPr>
      <w:rFonts w:ascii="Times New Roman" w:hAnsi="Times New Roman"/>
      <w:sz w:val="18"/>
      <w:szCs w:val="18"/>
    </w:rPr>
  </w:style>
  <w:style w:type="character" w:customStyle="1" w:styleId="56">
    <w:name w:val="日期 字符1"/>
    <w:link w:val="15"/>
    <w:qFormat/>
    <w:uiPriority w:val="99"/>
    <w:rPr>
      <w:rFonts w:ascii="Times New Roman" w:hAnsi="Times New Roman" w:eastAsia="宋体" w:cs="Times New Roman"/>
      <w:szCs w:val="24"/>
    </w:rPr>
  </w:style>
  <w:style w:type="character" w:customStyle="1" w:styleId="57">
    <w:name w:val="页眉 字符1"/>
    <w:link w:val="19"/>
    <w:qFormat/>
    <w:uiPriority w:val="99"/>
    <w:rPr>
      <w:rFonts w:ascii="Times New Roman" w:hAnsi="Times New Roman"/>
      <w:sz w:val="18"/>
      <w:szCs w:val="18"/>
    </w:rPr>
  </w:style>
  <w:style w:type="character" w:customStyle="1" w:styleId="58">
    <w:name w:val="标题 5 字符1"/>
    <w:link w:val="7"/>
    <w:qFormat/>
    <w:uiPriority w:val="9"/>
    <w:rPr>
      <w:rFonts w:ascii="Cambria" w:hAnsi="Cambria" w:eastAsia="宋体" w:cs="Times New Roman"/>
      <w:color w:val="16505E"/>
      <w:kern w:val="0"/>
      <w:sz w:val="22"/>
      <w:szCs w:val="20"/>
      <w:lang w:val="zh-CN" w:eastAsia="zh-CN"/>
    </w:rPr>
  </w:style>
  <w:style w:type="character" w:customStyle="1" w:styleId="59">
    <w:name w:val="标题 3 字符1"/>
    <w:link w:val="5"/>
    <w:qFormat/>
    <w:uiPriority w:val="9"/>
    <w:rPr>
      <w:rFonts w:ascii="Cambria" w:hAnsi="Cambria" w:eastAsia="宋体" w:cs="Times New Roman"/>
      <w:b/>
      <w:bCs/>
      <w:color w:val="2DA2BF"/>
      <w:kern w:val="0"/>
      <w:sz w:val="22"/>
      <w:szCs w:val="20"/>
      <w:lang w:val="zh-CN" w:eastAsia="zh-CN"/>
    </w:rPr>
  </w:style>
  <w:style w:type="character" w:customStyle="1" w:styleId="60">
    <w:name w:val="标题 1 字符1"/>
    <w:link w:val="3"/>
    <w:qFormat/>
    <w:uiPriority w:val="9"/>
    <w:rPr>
      <w:rFonts w:ascii="Times New Roman" w:hAnsi="Times New Roman" w:eastAsia="宋体" w:cs="Times New Roman"/>
      <w:b/>
      <w:bCs/>
      <w:kern w:val="44"/>
      <w:sz w:val="44"/>
      <w:szCs w:val="44"/>
    </w:rPr>
  </w:style>
  <w:style w:type="character" w:customStyle="1" w:styleId="61">
    <w:name w:val="文档结构图 字符1"/>
    <w:link w:val="9"/>
    <w:qFormat/>
    <w:uiPriority w:val="99"/>
    <w:rPr>
      <w:rFonts w:ascii="宋体" w:hAnsi="Times New Roman"/>
      <w:sz w:val="18"/>
      <w:szCs w:val="18"/>
    </w:rPr>
  </w:style>
  <w:style w:type="character" w:customStyle="1" w:styleId="62">
    <w:name w:val="批注主题 字符1"/>
    <w:link w:val="24"/>
    <w:qFormat/>
    <w:uiPriority w:val="99"/>
    <w:rPr>
      <w:rFonts w:ascii="Times New Roman" w:hAnsi="Times New Roman" w:eastAsia="宋体" w:cs="Times New Roman"/>
      <w:b/>
      <w:bCs/>
      <w:kern w:val="0"/>
      <w:sz w:val="22"/>
      <w:szCs w:val="24"/>
    </w:rPr>
  </w:style>
  <w:style w:type="character" w:customStyle="1" w:styleId="63">
    <w:name w:val="标题 6 字符1"/>
    <w:link w:val="8"/>
    <w:qFormat/>
    <w:uiPriority w:val="9"/>
    <w:rPr>
      <w:rFonts w:ascii="Cambria" w:hAnsi="Cambria" w:eastAsia="宋体" w:cs="Times New Roman"/>
      <w:b/>
      <w:bCs/>
      <w:sz w:val="24"/>
      <w:szCs w:val="24"/>
    </w:rPr>
  </w:style>
  <w:style w:type="character" w:customStyle="1" w:styleId="64">
    <w:name w:val="纯文本 字符1"/>
    <w:link w:val="14"/>
    <w:qFormat/>
    <w:uiPriority w:val="0"/>
    <w:rPr>
      <w:rFonts w:ascii="宋体" w:hAnsi="Courier New"/>
      <w:sz w:val="28"/>
      <w:szCs w:val="21"/>
    </w:rPr>
  </w:style>
  <w:style w:type="character" w:customStyle="1" w:styleId="65">
    <w:name w:val="纯文本 字符"/>
    <w:semiHidden/>
    <w:qFormat/>
    <w:uiPriority w:val="99"/>
    <w:rPr>
      <w:rFonts w:ascii="宋体" w:hAnsi="Courier New" w:cs="Courier New"/>
      <w:szCs w:val="24"/>
    </w:rPr>
  </w:style>
  <w:style w:type="character" w:customStyle="1" w:styleId="66">
    <w:name w:val="批注文字 字符"/>
    <w:link w:val="10"/>
    <w:semiHidden/>
    <w:qFormat/>
    <w:uiPriority w:val="99"/>
    <w:rPr>
      <w:rFonts w:ascii="Times New Roman" w:hAnsi="Times New Roman" w:eastAsia="宋体" w:cs="Times New Roman"/>
      <w:szCs w:val="24"/>
    </w:rPr>
  </w:style>
  <w:style w:type="character" w:customStyle="1" w:styleId="67">
    <w:name w:val="批注主题 字符"/>
    <w:semiHidden/>
    <w:qFormat/>
    <w:uiPriority w:val="99"/>
    <w:rPr>
      <w:rFonts w:ascii="Times New Roman" w:hAnsi="Times New Roman" w:eastAsia="宋体" w:cs="Times New Roman"/>
      <w:b/>
      <w:bCs/>
      <w:szCs w:val="24"/>
    </w:rPr>
  </w:style>
  <w:style w:type="character" w:customStyle="1" w:styleId="68">
    <w:name w:val="文档结构图 字符"/>
    <w:semiHidden/>
    <w:qFormat/>
    <w:uiPriority w:val="99"/>
    <w:rPr>
      <w:rFonts w:ascii="Microsoft YaHei UI" w:hAnsi="Times New Roman" w:eastAsia="Microsoft YaHei UI" w:cs="Times New Roman"/>
      <w:sz w:val="18"/>
      <w:szCs w:val="18"/>
    </w:rPr>
  </w:style>
  <w:style w:type="character" w:customStyle="1" w:styleId="69">
    <w:name w:val="日期 字符"/>
    <w:semiHidden/>
    <w:qFormat/>
    <w:uiPriority w:val="99"/>
    <w:rPr>
      <w:rFonts w:ascii="Times New Roman" w:hAnsi="Times New Roman" w:eastAsia="宋体" w:cs="Times New Roman"/>
      <w:szCs w:val="24"/>
    </w:rPr>
  </w:style>
  <w:style w:type="character" w:customStyle="1" w:styleId="70">
    <w:name w:val="页脚 字符"/>
    <w:semiHidden/>
    <w:qFormat/>
    <w:uiPriority w:val="99"/>
    <w:rPr>
      <w:rFonts w:ascii="Times New Roman" w:hAnsi="Times New Roman" w:eastAsia="宋体" w:cs="Times New Roman"/>
      <w:sz w:val="18"/>
      <w:szCs w:val="18"/>
    </w:rPr>
  </w:style>
  <w:style w:type="character" w:customStyle="1" w:styleId="71">
    <w:name w:val="正文文本缩进 2 字符"/>
    <w:semiHidden/>
    <w:qFormat/>
    <w:uiPriority w:val="99"/>
    <w:rPr>
      <w:rFonts w:ascii="Times New Roman" w:hAnsi="Times New Roman" w:eastAsia="宋体" w:cs="Times New Roman"/>
      <w:szCs w:val="24"/>
    </w:rPr>
  </w:style>
  <w:style w:type="character" w:customStyle="1" w:styleId="72">
    <w:name w:val="批注框文本 字符"/>
    <w:semiHidden/>
    <w:qFormat/>
    <w:uiPriority w:val="99"/>
    <w:rPr>
      <w:rFonts w:ascii="Times New Roman" w:hAnsi="Times New Roman" w:eastAsia="宋体" w:cs="Times New Roman"/>
      <w:sz w:val="18"/>
      <w:szCs w:val="18"/>
    </w:rPr>
  </w:style>
  <w:style w:type="character" w:customStyle="1" w:styleId="73">
    <w:name w:val="页眉 字符"/>
    <w:semiHidden/>
    <w:qFormat/>
    <w:uiPriority w:val="99"/>
    <w:rPr>
      <w:rFonts w:ascii="Times New Roman" w:hAnsi="Times New Roman" w:eastAsia="宋体" w:cs="Times New Roman"/>
      <w:sz w:val="18"/>
      <w:szCs w:val="18"/>
    </w:rPr>
  </w:style>
  <w:style w:type="character" w:customStyle="1" w:styleId="74">
    <w:name w:val="正文文本缩进 3 字符"/>
    <w:link w:val="22"/>
    <w:qFormat/>
    <w:uiPriority w:val="0"/>
    <w:rPr>
      <w:rFonts w:hint="eastAsia" w:ascii="仿宋_GB2312" w:eastAsia="仿宋_GB2312" w:cs="仿宋_GB2312"/>
      <w:kern w:val="2"/>
      <w:sz w:val="28"/>
      <w:szCs w:val="24"/>
    </w:rPr>
  </w:style>
  <w:style w:type="character" w:customStyle="1" w:styleId="75">
    <w:name w:val="正文文本 字符"/>
    <w:link w:val="11"/>
    <w:semiHidden/>
    <w:qFormat/>
    <w:uiPriority w:val="99"/>
    <w:rPr>
      <w:kern w:val="2"/>
      <w:sz w:val="21"/>
      <w:szCs w:val="24"/>
    </w:rPr>
  </w:style>
  <w:style w:type="character" w:customStyle="1" w:styleId="76">
    <w:name w:val="font01"/>
    <w:qFormat/>
    <w:uiPriority w:val="0"/>
    <w:rPr>
      <w:rFonts w:hint="eastAsia" w:ascii="宋体" w:hAnsi="宋体" w:eastAsia="宋体" w:cs="宋体"/>
      <w:color w:val="000000"/>
      <w:sz w:val="24"/>
      <w:szCs w:val="24"/>
      <w:u w:val="none"/>
      <w:vertAlign w:val="superscript"/>
    </w:rPr>
  </w:style>
  <w:style w:type="character" w:customStyle="1" w:styleId="77">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kcb</Company>
  <Pages>52</Pages>
  <Words>4777</Words>
  <Characters>27233</Characters>
  <Lines>226</Lines>
  <Paragraphs>63</Paragraphs>
  <TotalTime>26</TotalTime>
  <ScaleCrop>false</ScaleCrop>
  <LinksUpToDate>false</LinksUpToDate>
  <CharactersWithSpaces>31947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2021-07-26T10:50:00Z</dcterms:created>
  <dc:creator>DELL</dc:creator>
  <cp:lastModifiedBy>sugon</cp:lastModifiedBy>
  <cp:lastPrinted>2022-02-21T12:22:00Z</cp:lastPrinted>
  <dcterms:modified xsi:type="dcterms:W3CDTF">2025-02-14T12:49:55Z</dcterms:modified>
  <dc:title>新疆民丰县矿产资源总体规划</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F00FC49922824609831E92F8D5A3A258</vt:lpwstr>
  </property>
</Properties>
</file>