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民丰县应急管理局</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部门单位名称（公章）：民丰县应急管理局</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Times New Roman"/>
          <w:b/>
          <w:bCs w:val="0"/>
          <w:color w:val="auto"/>
          <w:sz w:val="32"/>
          <w:szCs w:val="32"/>
          <w:highlight w:val="none"/>
        </w:rPr>
      </w:pPr>
      <w:r>
        <w:rPr>
          <w:rFonts w:hint="eastAsia" w:ascii="仿宋_GB2312" w:hAnsi="宋体" w:eastAsia="仿宋_GB2312"/>
          <w:b w:val="0"/>
          <w:bCs/>
          <w:sz w:val="32"/>
          <w:szCs w:val="32"/>
        </w:rPr>
        <w:t>（1）负责全县应急管理工作，指导各乡镇（街道）、各部门应对安全生产类、自然灾害类等突发事件和综合防灾减灾救灾工作。负责全县安全生产综合监督管理和工矿商贸行业安全生产监督管理工作（煤矿除外，下同）；</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lang w:val="en-US" w:eastAsia="zh-CN"/>
        </w:rPr>
        <w:t xml:space="preserve">    </w:t>
      </w:r>
      <w:r>
        <w:rPr>
          <w:rFonts w:hint="eastAsia" w:ascii="仿宋_GB2312" w:hAnsi="宋体" w:eastAsia="仿宋_GB2312"/>
          <w:b w:val="0"/>
          <w:bCs/>
          <w:sz w:val="32"/>
          <w:szCs w:val="32"/>
        </w:rPr>
        <w:t>（2）贯彻落实应急管理、安全生产等政策措施，组织编制全县应急体系建设、安全生产和综合防灾减灾规划。贯彻执行地方性法规、规章、相关规程和标准；</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lang w:val="en-US" w:eastAsia="zh-CN"/>
        </w:rPr>
        <w:t xml:space="preserve">    </w:t>
      </w:r>
      <w:r>
        <w:rPr>
          <w:rFonts w:hint="eastAsia" w:ascii="仿宋_GB2312" w:hAnsi="宋体" w:eastAsia="仿宋_GB2312"/>
          <w:b w:val="0"/>
          <w:bCs/>
          <w:sz w:val="32"/>
          <w:szCs w:val="32"/>
        </w:rPr>
        <w:t>（3）指导全县应急预案体系建设，建立完善事故灾难和自然灾害分级应对制度，组织编制全县总体应急预案和安全生产类、自然灾害类专项预案并组织实施，综合协调应急预案衔接工作，组织开展预案演练，推动应急避难设施建设；</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lang w:val="en-US" w:eastAsia="zh-CN"/>
        </w:rPr>
        <w:t xml:space="preserve">    </w:t>
      </w:r>
      <w:r>
        <w:rPr>
          <w:rFonts w:hint="eastAsia" w:ascii="仿宋_GB2312" w:hAnsi="宋体" w:eastAsia="仿宋_GB2312"/>
          <w:b w:val="0"/>
          <w:bCs/>
          <w:sz w:val="32"/>
          <w:szCs w:val="32"/>
        </w:rPr>
        <w:t>（4）按要求牵头建立与上级应急管理信息系统相衔接的、全县统一的应急管理信息系统，负责信息传输渠道的规划和布局，建立监测预警和灾情报告制度，健全自然灾害信息资源获取和共享机制，依法统一发布灾情；</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lang w:val="en-US" w:eastAsia="zh-CN"/>
        </w:rPr>
        <w:t xml:space="preserve">    </w:t>
      </w:r>
      <w:r>
        <w:rPr>
          <w:rFonts w:hint="eastAsia" w:ascii="仿宋_GB2312" w:hAnsi="宋体" w:eastAsia="仿宋_GB2312"/>
          <w:b w:val="0"/>
          <w:bCs/>
          <w:sz w:val="32"/>
          <w:szCs w:val="32"/>
        </w:rPr>
        <w:t>（5）组织指导协调全县安全生产类、自然灾害类等突发事件应急救援，承担县人民政府应对重大灾害指挥部工作，综合研判突发事件发展态势并提出应对建议，协助县委、县人民政府指定的负责同志组织重大灾害应急处置工作；</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lang w:val="en-US" w:eastAsia="zh-CN"/>
        </w:rPr>
        <w:t xml:space="preserve">    </w:t>
      </w:r>
      <w:r>
        <w:rPr>
          <w:rFonts w:hint="eastAsia" w:ascii="仿宋_GB2312" w:hAnsi="宋体" w:eastAsia="仿宋_GB2312"/>
          <w:b w:val="0"/>
          <w:bCs/>
          <w:sz w:val="32"/>
          <w:szCs w:val="32"/>
        </w:rPr>
        <w:t>（6）统一协调指挥全县各类应急专业队伍，建立应急协调联动机制，推进指挥平台对接，衔接武警部队参与应急救援工作</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lang w:val="en-US" w:eastAsia="zh-CN"/>
        </w:rPr>
        <w:t xml:space="preserve">  </w:t>
      </w:r>
      <w:r>
        <w:rPr>
          <w:rFonts w:hint="eastAsia" w:ascii="仿宋_GB2312" w:hAnsi="仿宋" w:eastAsia="仿宋_GB2312" w:cs="Times New Roman"/>
          <w:b/>
          <w:bCs w:val="0"/>
          <w:color w:val="auto"/>
          <w:sz w:val="32"/>
          <w:szCs w:val="32"/>
          <w:highlight w:val="none"/>
          <w:lang w:val="en-US" w:eastAsia="zh-CN"/>
        </w:rPr>
        <w:t>2.</w:t>
      </w: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Style w:val="9"/>
          <w:rFonts w:hint="eastAsia" w:ascii="仿宋_GB2312" w:hAnsi="楷体" w:eastAsia="仿宋_GB2312"/>
          <w:b w:val="0"/>
          <w:color w:val="auto"/>
          <w:spacing w:val="-4"/>
          <w:sz w:val="32"/>
          <w:szCs w:val="32"/>
          <w:highlight w:val="none"/>
          <w:lang w:val="en-US" w:eastAsia="zh-CN"/>
        </w:rPr>
      </w:pPr>
      <w:r>
        <w:rPr>
          <w:rFonts w:hint="eastAsia" w:ascii="仿宋_GB2312" w:hAnsi="宋体" w:eastAsia="仿宋_GB2312"/>
          <w:b w:val="0"/>
          <w:bCs/>
          <w:sz w:val="32"/>
          <w:szCs w:val="32"/>
          <w:lang w:eastAsia="zh-CN"/>
        </w:rPr>
        <w:t>民丰县</w:t>
      </w:r>
      <w:r>
        <w:rPr>
          <w:rFonts w:hint="eastAsia" w:ascii="仿宋_GB2312" w:hAnsi="宋体" w:eastAsia="仿宋_GB2312"/>
          <w:b w:val="0"/>
          <w:bCs/>
          <w:sz w:val="32"/>
          <w:szCs w:val="32"/>
        </w:rPr>
        <w:t>应急管理局无下属预算单位，下设3个科室，分别是：安全生产执法大队、自然灾害预警监测中心、矿山安全监督管理中心。</w:t>
      </w:r>
      <w:r>
        <w:rPr>
          <w:rFonts w:hint="eastAsia" w:ascii="仿宋_GB2312" w:hAnsi="宋体" w:eastAsia="仿宋_GB2312"/>
          <w:b w:val="0"/>
          <w:bCs/>
          <w:sz w:val="32"/>
          <w:szCs w:val="32"/>
          <w:lang w:eastAsia="zh-CN"/>
        </w:rPr>
        <w:t>民丰县</w:t>
      </w:r>
      <w:r>
        <w:rPr>
          <w:rFonts w:hint="eastAsia" w:ascii="仿宋_GB2312" w:hAnsi="宋体" w:eastAsia="仿宋_GB2312"/>
          <w:b w:val="0"/>
          <w:bCs/>
          <w:sz w:val="32"/>
          <w:szCs w:val="32"/>
        </w:rPr>
        <w:t>应急管理局编制数12</w:t>
      </w:r>
      <w:r>
        <w:rPr>
          <w:rFonts w:hint="eastAsia" w:ascii="仿宋_GB2312" w:hAnsi="宋体" w:eastAsia="仿宋_GB2312"/>
          <w:b w:val="0"/>
          <w:bCs/>
          <w:sz w:val="32"/>
          <w:szCs w:val="32"/>
          <w:lang w:val="en-US" w:eastAsia="zh-CN"/>
        </w:rPr>
        <w:t>个</w:t>
      </w:r>
      <w:r>
        <w:rPr>
          <w:rFonts w:hint="eastAsia" w:ascii="仿宋_GB2312" w:hAnsi="宋体" w:eastAsia="仿宋_GB2312"/>
          <w:b w:val="0"/>
          <w:bCs/>
          <w:sz w:val="32"/>
          <w:szCs w:val="32"/>
        </w:rPr>
        <w:t>，其中：在职1</w:t>
      </w:r>
      <w:r>
        <w:rPr>
          <w:rFonts w:hint="eastAsia" w:ascii="仿宋_GB2312" w:hAnsi="宋体" w:eastAsia="仿宋_GB2312"/>
          <w:b w:val="0"/>
          <w:bCs/>
          <w:sz w:val="32"/>
          <w:szCs w:val="32"/>
          <w:lang w:val="en-US" w:eastAsia="zh-CN"/>
        </w:rPr>
        <w:t>0</w:t>
      </w:r>
      <w:r>
        <w:rPr>
          <w:rFonts w:hint="eastAsia" w:ascii="仿宋_GB2312" w:hAnsi="宋体" w:eastAsia="仿宋_GB2312"/>
          <w:b w:val="0"/>
          <w:bCs/>
          <w:sz w:val="32"/>
          <w:szCs w:val="32"/>
        </w:rPr>
        <w:t>人，增加0人；退休</w:t>
      </w:r>
      <w:r>
        <w:rPr>
          <w:rFonts w:hint="eastAsia" w:ascii="仿宋_GB2312" w:hAnsi="宋体" w:eastAsia="仿宋_GB2312"/>
          <w:b w:val="0"/>
          <w:bCs/>
          <w:sz w:val="32"/>
          <w:szCs w:val="32"/>
          <w:lang w:val="en-US" w:eastAsia="zh-CN"/>
        </w:rPr>
        <w:t>0</w:t>
      </w:r>
      <w:r>
        <w:rPr>
          <w:rFonts w:hint="eastAsia" w:ascii="仿宋_GB2312" w:hAnsi="宋体" w:eastAsia="仿宋_GB2312"/>
          <w:b w:val="0"/>
          <w:bCs/>
          <w:sz w:val="32"/>
          <w:szCs w:val="32"/>
        </w:rPr>
        <w:t>人，增加0人；离休0人，增加0人。</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1</w:t>
      </w:r>
      <w:r>
        <w:rPr>
          <w:rFonts w:hint="eastAsia" w:ascii="仿宋_GB2312" w:hAnsi="宋体" w:eastAsia="仿宋_GB2312"/>
          <w:b w:val="0"/>
          <w:bCs/>
          <w:sz w:val="32"/>
          <w:szCs w:val="32"/>
          <w:lang w:eastAsia="zh-CN"/>
        </w:rPr>
        <w:t>）2023年应急保障专项资金：</w:t>
      </w:r>
      <w:r>
        <w:rPr>
          <w:rFonts w:hint="eastAsia" w:ascii="仿宋_GB2312" w:hAnsi="宋体" w:eastAsia="仿宋_GB2312"/>
          <w:b w:val="0"/>
          <w:bCs/>
          <w:sz w:val="32"/>
          <w:szCs w:val="32"/>
        </w:rPr>
        <w:t>为了民丰县安全生产工作进一步推进，新建减速带2000米，采购应急车辆2辆，卫星电话2台，对讲机5台及安全教育评估、宣讲。通过项目的实施，确保民丰县应急、安全保障投入，提升安全生产基础保障能力。</w:t>
      </w:r>
    </w:p>
    <w:p>
      <w:pPr>
        <w:spacing w:line="600" w:lineRule="exact"/>
        <w:ind w:firstLine="641" w:firstLineChars="2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347.02万元，预算数（调整后）385.07万元，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385.07万元，执行率100%。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应急管理局</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285.07</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244.97</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40.1万元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285.07</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应急管理局</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应急管理局</w:t>
      </w:r>
      <w:r>
        <w:rPr>
          <w:rFonts w:hint="eastAsia" w:hAnsi="方正楷体简体"/>
          <w:color w:val="auto"/>
          <w:highlight w:val="none"/>
        </w:rPr>
        <w:t>项目支出共涉及</w:t>
      </w:r>
      <w:r>
        <w:rPr>
          <w:rFonts w:hint="eastAsia" w:hAnsi="方正楷体简体"/>
          <w:color w:val="auto"/>
          <w:highlight w:val="none"/>
          <w:lang w:val="en-US" w:eastAsia="zh-CN"/>
        </w:rPr>
        <w:t>1</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rPr>
          <w:trHeight w:val="90" w:hRule="atLeast"/>
        </w:trP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2023年应急保障专项资金</w:t>
            </w:r>
          </w:p>
        </w:tc>
        <w:tc>
          <w:tcPr>
            <w:tcW w:w="2525" w:type="dxa"/>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100</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年初预算</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应急管理局</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285.07</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244.97</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40.1万元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285.07</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（一）指标一：重点企业安全生产检查次数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重点企业安全生产检查次数，预期指标是大于等于28次，年中绩效运行监控完成值是16次，本次评价实际完成值是28次，达到预期目标。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（二）指标二：重点企业开展安全生产培训</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重点企业开展安全生产培训，预期指标是</w:t>
      </w:r>
      <w:r>
        <w:rPr>
          <w:rFonts w:hint="eastAsia" w:ascii="仿宋_GB2312" w:hAnsi="仿宋" w:eastAsia="仿宋_GB2312"/>
          <w:color w:val="auto"/>
          <w:sz w:val="32"/>
          <w:szCs w:val="32"/>
          <w:highlight w:val="none"/>
          <w:lang w:val="en-US" w:eastAsia="zh-CN"/>
        </w:rPr>
        <w:t>大于等于12次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6次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本次评价实际完成值是12次，</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（三）指标三：重点监督检查企业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重点监督检查企业，预期指标是</w:t>
      </w:r>
      <w:r>
        <w:rPr>
          <w:rFonts w:hint="eastAsia" w:ascii="仿宋_GB2312" w:hAnsi="仿宋" w:eastAsia="仿宋_GB2312"/>
          <w:color w:val="auto"/>
          <w:sz w:val="32"/>
          <w:szCs w:val="32"/>
          <w:highlight w:val="none"/>
          <w:lang w:val="en-US" w:eastAsia="zh-CN"/>
        </w:rPr>
        <w:t>大于等于4家</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4家</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4家</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（四）指标四：应急救援保障率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应急救援保障率，预期指标是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100%</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（五）指标五：地震综合实战演练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地震综合实战演练，预期指标是</w:t>
      </w:r>
      <w:r>
        <w:rPr>
          <w:rFonts w:hint="eastAsia" w:ascii="仿宋_GB2312" w:hAnsi="仿宋" w:eastAsia="仿宋_GB2312"/>
          <w:color w:val="auto"/>
          <w:sz w:val="32"/>
          <w:szCs w:val="32"/>
          <w:highlight w:val="none"/>
          <w:lang w:val="en-US" w:eastAsia="zh-CN"/>
        </w:rPr>
        <w:t>大于等于12次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6次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本次评价实际完成值是12次，</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2023年度部门整体支出绩效自评综合得分100分，评价结果为“优”。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pStyle w:val="12"/>
        <w:numPr>
          <w:ilvl w:val="0"/>
          <w:numId w:val="0"/>
        </w:numPr>
        <w:snapToGrid w:val="0"/>
        <w:spacing w:line="540" w:lineRule="exact"/>
        <w:ind w:left="640" w:leftChars="0"/>
        <w:rPr>
          <w:rStyle w:val="9"/>
          <w:rFonts w:hint="eastAsia" w:ascii="黑体" w:hAnsi="黑体" w:eastAsia="黑体"/>
          <w:b w:val="0"/>
          <w:bCs w:val="0"/>
          <w:color w:val="auto"/>
          <w:spacing w:val="-4"/>
          <w:sz w:val="32"/>
          <w:szCs w:val="32"/>
          <w:highlight w:val="none"/>
          <w:lang w:eastAsia="zh-CN"/>
        </w:rPr>
      </w:pPr>
      <w:r>
        <w:rPr>
          <w:rStyle w:val="9"/>
          <w:rFonts w:hint="eastAsia" w:ascii="仿宋_GB2312" w:hAnsi="楷体" w:eastAsia="仿宋_GB2312" w:cs="Times New Roman"/>
          <w:b w:val="0"/>
          <w:color w:val="auto"/>
          <w:spacing w:val="-4"/>
          <w:kern w:val="2"/>
          <w:sz w:val="32"/>
          <w:szCs w:val="32"/>
          <w:highlight w:val="none"/>
          <w:lang w:val="en-US" w:eastAsia="zh-CN" w:bidi="ar-SA"/>
        </w:rPr>
        <w:t>无</w:t>
      </w: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12"/>
        <w:numPr>
          <w:ilvl w:val="0"/>
          <w:numId w:val="0"/>
        </w:numPr>
        <w:snapToGrid w:val="0"/>
        <w:spacing w:line="540" w:lineRule="exact"/>
        <w:ind w:left="640" w:leftChars="0"/>
        <w:rPr>
          <w:rStyle w:val="9"/>
          <w:rFonts w:hint="eastAsia" w:ascii="黑体" w:hAnsi="黑体" w:eastAsia="黑体"/>
          <w:b w:val="0"/>
          <w:bCs w:val="0"/>
          <w:color w:val="auto"/>
          <w:spacing w:val="-4"/>
          <w:sz w:val="32"/>
          <w:szCs w:val="32"/>
          <w:highlight w:val="none"/>
          <w:lang w:eastAsia="zh-CN"/>
        </w:rPr>
      </w:pPr>
      <w:r>
        <w:rPr>
          <w:rStyle w:val="9"/>
          <w:rFonts w:hint="eastAsia" w:ascii="仿宋_GB2312" w:hAnsi="楷体" w:eastAsia="仿宋_GB2312" w:cs="Times New Roman"/>
          <w:b w:val="0"/>
          <w:color w:val="auto"/>
          <w:spacing w:val="-4"/>
          <w:kern w:val="2"/>
          <w:sz w:val="32"/>
          <w:szCs w:val="32"/>
          <w:highlight w:val="none"/>
          <w:lang w:val="en-US" w:eastAsia="zh-CN" w:bidi="ar-SA"/>
        </w:rPr>
        <w:t>无</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8616A"/>
    <w:rsid w:val="00EB3604"/>
    <w:rsid w:val="01057E1B"/>
    <w:rsid w:val="011A4A9E"/>
    <w:rsid w:val="01A65187"/>
    <w:rsid w:val="02083FE3"/>
    <w:rsid w:val="020B07BA"/>
    <w:rsid w:val="02143AF3"/>
    <w:rsid w:val="025F60B9"/>
    <w:rsid w:val="02656D15"/>
    <w:rsid w:val="02965E8D"/>
    <w:rsid w:val="036F25A0"/>
    <w:rsid w:val="037F0728"/>
    <w:rsid w:val="03D360F1"/>
    <w:rsid w:val="04440438"/>
    <w:rsid w:val="04537F5A"/>
    <w:rsid w:val="04D06597"/>
    <w:rsid w:val="04E4679D"/>
    <w:rsid w:val="053C376F"/>
    <w:rsid w:val="056B2C09"/>
    <w:rsid w:val="05731446"/>
    <w:rsid w:val="05CB6613"/>
    <w:rsid w:val="065340BF"/>
    <w:rsid w:val="06696209"/>
    <w:rsid w:val="071976DD"/>
    <w:rsid w:val="073938AD"/>
    <w:rsid w:val="07505305"/>
    <w:rsid w:val="08CC471F"/>
    <w:rsid w:val="098242D9"/>
    <w:rsid w:val="099C464D"/>
    <w:rsid w:val="09F33E85"/>
    <w:rsid w:val="0A417E47"/>
    <w:rsid w:val="0A9F104D"/>
    <w:rsid w:val="0B6F48AA"/>
    <w:rsid w:val="0BC64CF0"/>
    <w:rsid w:val="0C1013EF"/>
    <w:rsid w:val="0C354671"/>
    <w:rsid w:val="0C561A59"/>
    <w:rsid w:val="0C993046"/>
    <w:rsid w:val="0CB7795C"/>
    <w:rsid w:val="0D19113A"/>
    <w:rsid w:val="0D1922F1"/>
    <w:rsid w:val="0D825121"/>
    <w:rsid w:val="0D9F0DF1"/>
    <w:rsid w:val="0DBD196E"/>
    <w:rsid w:val="0E325CFD"/>
    <w:rsid w:val="0E737D65"/>
    <w:rsid w:val="0F26701B"/>
    <w:rsid w:val="0F471127"/>
    <w:rsid w:val="0FA5497F"/>
    <w:rsid w:val="10DF6E84"/>
    <w:rsid w:val="10F40F73"/>
    <w:rsid w:val="115D6C7D"/>
    <w:rsid w:val="119055B4"/>
    <w:rsid w:val="11F017F5"/>
    <w:rsid w:val="120D1EEA"/>
    <w:rsid w:val="123F73AE"/>
    <w:rsid w:val="127423D4"/>
    <w:rsid w:val="12D07449"/>
    <w:rsid w:val="12E977B3"/>
    <w:rsid w:val="13072B53"/>
    <w:rsid w:val="1438599A"/>
    <w:rsid w:val="14775B53"/>
    <w:rsid w:val="14F27B7B"/>
    <w:rsid w:val="15A74E16"/>
    <w:rsid w:val="176A0FC5"/>
    <w:rsid w:val="18344297"/>
    <w:rsid w:val="188924B6"/>
    <w:rsid w:val="189E58C4"/>
    <w:rsid w:val="197406AD"/>
    <w:rsid w:val="1999359E"/>
    <w:rsid w:val="19E24A4E"/>
    <w:rsid w:val="19F6744F"/>
    <w:rsid w:val="19FE0A5D"/>
    <w:rsid w:val="1AA2333B"/>
    <w:rsid w:val="1B1332CA"/>
    <w:rsid w:val="1BFA024C"/>
    <w:rsid w:val="1C003E03"/>
    <w:rsid w:val="1C94135C"/>
    <w:rsid w:val="1CBE5A05"/>
    <w:rsid w:val="1CDE4763"/>
    <w:rsid w:val="1D073223"/>
    <w:rsid w:val="1D95187B"/>
    <w:rsid w:val="1E450659"/>
    <w:rsid w:val="1E480663"/>
    <w:rsid w:val="1F2E40D0"/>
    <w:rsid w:val="1F90448E"/>
    <w:rsid w:val="1FBB36D6"/>
    <w:rsid w:val="200F4073"/>
    <w:rsid w:val="204070F0"/>
    <w:rsid w:val="210248A0"/>
    <w:rsid w:val="211F7E62"/>
    <w:rsid w:val="21374989"/>
    <w:rsid w:val="215A51EF"/>
    <w:rsid w:val="21E22F6F"/>
    <w:rsid w:val="21F15116"/>
    <w:rsid w:val="22432A40"/>
    <w:rsid w:val="229016F2"/>
    <w:rsid w:val="22E017C5"/>
    <w:rsid w:val="231D00E5"/>
    <w:rsid w:val="236F5373"/>
    <w:rsid w:val="23741243"/>
    <w:rsid w:val="23820713"/>
    <w:rsid w:val="238F1E22"/>
    <w:rsid w:val="247B4D27"/>
    <w:rsid w:val="24B86128"/>
    <w:rsid w:val="25930A3E"/>
    <w:rsid w:val="26122C15"/>
    <w:rsid w:val="279714E3"/>
    <w:rsid w:val="28001490"/>
    <w:rsid w:val="28056196"/>
    <w:rsid w:val="28F109D1"/>
    <w:rsid w:val="291F3644"/>
    <w:rsid w:val="29527CE9"/>
    <w:rsid w:val="29B24CBA"/>
    <w:rsid w:val="29C30BFF"/>
    <w:rsid w:val="2AF4485D"/>
    <w:rsid w:val="2AF77D81"/>
    <w:rsid w:val="2B043BBD"/>
    <w:rsid w:val="2B131174"/>
    <w:rsid w:val="2B4341EB"/>
    <w:rsid w:val="2B513E61"/>
    <w:rsid w:val="2C454A8E"/>
    <w:rsid w:val="2C736830"/>
    <w:rsid w:val="2C9E18B5"/>
    <w:rsid w:val="2D066D8C"/>
    <w:rsid w:val="2D8F0F02"/>
    <w:rsid w:val="2DC21BBA"/>
    <w:rsid w:val="2DE92A48"/>
    <w:rsid w:val="2E501733"/>
    <w:rsid w:val="2E913C19"/>
    <w:rsid w:val="2EE7129F"/>
    <w:rsid w:val="2EF80FF5"/>
    <w:rsid w:val="2FB33ACF"/>
    <w:rsid w:val="30252FB1"/>
    <w:rsid w:val="307179D7"/>
    <w:rsid w:val="30A967BD"/>
    <w:rsid w:val="30BD2E56"/>
    <w:rsid w:val="30C353D7"/>
    <w:rsid w:val="30C71428"/>
    <w:rsid w:val="30E6123B"/>
    <w:rsid w:val="31153648"/>
    <w:rsid w:val="311D1738"/>
    <w:rsid w:val="3148295B"/>
    <w:rsid w:val="31DC2E54"/>
    <w:rsid w:val="32650FE8"/>
    <w:rsid w:val="328647CF"/>
    <w:rsid w:val="32F63DCB"/>
    <w:rsid w:val="334B0733"/>
    <w:rsid w:val="3353337A"/>
    <w:rsid w:val="33D53037"/>
    <w:rsid w:val="34583CA2"/>
    <w:rsid w:val="350E12DF"/>
    <w:rsid w:val="35274E80"/>
    <w:rsid w:val="35446943"/>
    <w:rsid w:val="35752DE8"/>
    <w:rsid w:val="35F516C7"/>
    <w:rsid w:val="36E918C3"/>
    <w:rsid w:val="37213B34"/>
    <w:rsid w:val="37847141"/>
    <w:rsid w:val="379C4287"/>
    <w:rsid w:val="37E01ED0"/>
    <w:rsid w:val="38A61EBD"/>
    <w:rsid w:val="38BD6D70"/>
    <w:rsid w:val="3A560600"/>
    <w:rsid w:val="3A6433F2"/>
    <w:rsid w:val="3ABA302D"/>
    <w:rsid w:val="3AFC5DBC"/>
    <w:rsid w:val="3B31606E"/>
    <w:rsid w:val="3BBF2075"/>
    <w:rsid w:val="3C1B2B4E"/>
    <w:rsid w:val="3CFE76CD"/>
    <w:rsid w:val="3D066B28"/>
    <w:rsid w:val="3D3752E3"/>
    <w:rsid w:val="3E502FE6"/>
    <w:rsid w:val="3F9A26C0"/>
    <w:rsid w:val="3FD249C9"/>
    <w:rsid w:val="3FD35BB0"/>
    <w:rsid w:val="4004687B"/>
    <w:rsid w:val="40077544"/>
    <w:rsid w:val="40C329C5"/>
    <w:rsid w:val="421B0BD5"/>
    <w:rsid w:val="421C6A8E"/>
    <w:rsid w:val="42715D92"/>
    <w:rsid w:val="42D76E89"/>
    <w:rsid w:val="42ED7A1D"/>
    <w:rsid w:val="433C35D6"/>
    <w:rsid w:val="44081B00"/>
    <w:rsid w:val="441D492B"/>
    <w:rsid w:val="44202481"/>
    <w:rsid w:val="455525A3"/>
    <w:rsid w:val="455F5770"/>
    <w:rsid w:val="46CC7CC3"/>
    <w:rsid w:val="47D305B2"/>
    <w:rsid w:val="490A03E5"/>
    <w:rsid w:val="4CAD59B7"/>
    <w:rsid w:val="4CE26E4A"/>
    <w:rsid w:val="4CEE4B39"/>
    <w:rsid w:val="4D5352D2"/>
    <w:rsid w:val="4DB22F1C"/>
    <w:rsid w:val="4F245112"/>
    <w:rsid w:val="50966E31"/>
    <w:rsid w:val="50AC5F11"/>
    <w:rsid w:val="50E644F7"/>
    <w:rsid w:val="50FC6FB1"/>
    <w:rsid w:val="51203352"/>
    <w:rsid w:val="514F0C71"/>
    <w:rsid w:val="51936956"/>
    <w:rsid w:val="51C70EA9"/>
    <w:rsid w:val="51EC08C3"/>
    <w:rsid w:val="52DD0612"/>
    <w:rsid w:val="535401CD"/>
    <w:rsid w:val="53616619"/>
    <w:rsid w:val="53B535AD"/>
    <w:rsid w:val="53EF3CB0"/>
    <w:rsid w:val="54191C62"/>
    <w:rsid w:val="54942087"/>
    <w:rsid w:val="54F842B6"/>
    <w:rsid w:val="55525A1B"/>
    <w:rsid w:val="56613726"/>
    <w:rsid w:val="57C514DD"/>
    <w:rsid w:val="57F754E9"/>
    <w:rsid w:val="58125EAF"/>
    <w:rsid w:val="587962AC"/>
    <w:rsid w:val="58CB188F"/>
    <w:rsid w:val="58CF52AA"/>
    <w:rsid w:val="58F84CC2"/>
    <w:rsid w:val="58FB7FD2"/>
    <w:rsid w:val="59315140"/>
    <w:rsid w:val="59E8491A"/>
    <w:rsid w:val="5A5005EF"/>
    <w:rsid w:val="5AE70C2F"/>
    <w:rsid w:val="5B317016"/>
    <w:rsid w:val="5B612024"/>
    <w:rsid w:val="5B844DDF"/>
    <w:rsid w:val="5B9757C7"/>
    <w:rsid w:val="5BD87229"/>
    <w:rsid w:val="5BF46B51"/>
    <w:rsid w:val="5C464E4E"/>
    <w:rsid w:val="5C47767B"/>
    <w:rsid w:val="5C911CAA"/>
    <w:rsid w:val="5CC72C7C"/>
    <w:rsid w:val="5D031B79"/>
    <w:rsid w:val="5DAB0D44"/>
    <w:rsid w:val="5E807869"/>
    <w:rsid w:val="5EB12FFC"/>
    <w:rsid w:val="5EBD3C66"/>
    <w:rsid w:val="5EC119C1"/>
    <w:rsid w:val="5ECD3880"/>
    <w:rsid w:val="5EF13F01"/>
    <w:rsid w:val="5FBA8DCC"/>
    <w:rsid w:val="5FCF4505"/>
    <w:rsid w:val="60810646"/>
    <w:rsid w:val="60861653"/>
    <w:rsid w:val="60A001E1"/>
    <w:rsid w:val="61533F93"/>
    <w:rsid w:val="61CC3282"/>
    <w:rsid w:val="62B138A5"/>
    <w:rsid w:val="62FF41BC"/>
    <w:rsid w:val="649E5A54"/>
    <w:rsid w:val="64B37927"/>
    <w:rsid w:val="64F5745B"/>
    <w:rsid w:val="65431E53"/>
    <w:rsid w:val="6550747D"/>
    <w:rsid w:val="656071F2"/>
    <w:rsid w:val="65E66B55"/>
    <w:rsid w:val="668A5953"/>
    <w:rsid w:val="67163E36"/>
    <w:rsid w:val="67294323"/>
    <w:rsid w:val="675737FA"/>
    <w:rsid w:val="67A46ABB"/>
    <w:rsid w:val="67A760D9"/>
    <w:rsid w:val="68141A48"/>
    <w:rsid w:val="68301DD3"/>
    <w:rsid w:val="683F17C8"/>
    <w:rsid w:val="68965AF7"/>
    <w:rsid w:val="68E935B2"/>
    <w:rsid w:val="68F071D2"/>
    <w:rsid w:val="69226B8E"/>
    <w:rsid w:val="6970145B"/>
    <w:rsid w:val="697650C9"/>
    <w:rsid w:val="6990449C"/>
    <w:rsid w:val="6A3D62B1"/>
    <w:rsid w:val="6AA21689"/>
    <w:rsid w:val="6B5651CD"/>
    <w:rsid w:val="6B7071C5"/>
    <w:rsid w:val="6BF1756B"/>
    <w:rsid w:val="6C4770EF"/>
    <w:rsid w:val="6CC17A4F"/>
    <w:rsid w:val="6D920313"/>
    <w:rsid w:val="6DE0371D"/>
    <w:rsid w:val="6E0773DE"/>
    <w:rsid w:val="6E4E28CC"/>
    <w:rsid w:val="6E620CF2"/>
    <w:rsid w:val="6EC45659"/>
    <w:rsid w:val="6F56616E"/>
    <w:rsid w:val="6F5E1AA3"/>
    <w:rsid w:val="6F8D5764"/>
    <w:rsid w:val="6FC0465E"/>
    <w:rsid w:val="6FC63036"/>
    <w:rsid w:val="701075FD"/>
    <w:rsid w:val="702A415B"/>
    <w:rsid w:val="70956DCB"/>
    <w:rsid w:val="70AD31F0"/>
    <w:rsid w:val="71062065"/>
    <w:rsid w:val="71E830CF"/>
    <w:rsid w:val="72310225"/>
    <w:rsid w:val="726C339B"/>
    <w:rsid w:val="741F01E3"/>
    <w:rsid w:val="75E10FF1"/>
    <w:rsid w:val="763F556D"/>
    <w:rsid w:val="76434FBA"/>
    <w:rsid w:val="76570E0B"/>
    <w:rsid w:val="769A4E05"/>
    <w:rsid w:val="76D8191F"/>
    <w:rsid w:val="7772178F"/>
    <w:rsid w:val="78333936"/>
    <w:rsid w:val="7912435D"/>
    <w:rsid w:val="7A362281"/>
    <w:rsid w:val="7AAD1812"/>
    <w:rsid w:val="7AE1632D"/>
    <w:rsid w:val="7B2A25EA"/>
    <w:rsid w:val="7B5A04B1"/>
    <w:rsid w:val="7C413FFF"/>
    <w:rsid w:val="7C5764FD"/>
    <w:rsid w:val="7C723EE6"/>
    <w:rsid w:val="7C734CF6"/>
    <w:rsid w:val="7DD83F74"/>
    <w:rsid w:val="7EA70AA9"/>
    <w:rsid w:val="7F200B83"/>
    <w:rsid w:val="7F5D585A"/>
    <w:rsid w:val="7FCA0E68"/>
    <w:rsid w:val="7FD23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character" w:customStyle="1" w:styleId="14">
    <w:name w:val="font01"/>
    <w:basedOn w:val="8"/>
    <w:qFormat/>
    <w:uiPriority w:val="0"/>
    <w:rPr>
      <w:rFonts w:hint="eastAsia" w:ascii="宋体" w:hAnsi="宋体" w:eastAsia="宋体" w:cs="宋体"/>
      <w:color w:val="000000"/>
      <w:sz w:val="24"/>
      <w:szCs w:val="24"/>
      <w:u w:val="none"/>
    </w:rPr>
  </w:style>
  <w:style w:type="character" w:customStyle="1" w:styleId="15">
    <w:name w:val="font21"/>
    <w:basedOn w:val="8"/>
    <w:qFormat/>
    <w:uiPriority w:val="0"/>
    <w:rPr>
      <w:rFonts w:hint="default" w:ascii="Calibri" w:hAnsi="Calibri" w:cs="Calibri"/>
      <w:color w:val="000000"/>
      <w:sz w:val="24"/>
      <w:szCs w:val="24"/>
      <w:u w:val="none"/>
    </w:rPr>
  </w:style>
  <w:style w:type="character" w:customStyle="1" w:styleId="16">
    <w:name w:val="font11"/>
    <w:basedOn w:val="8"/>
    <w:qFormat/>
    <w:uiPriority w:val="0"/>
    <w:rPr>
      <w:rFonts w:hint="default" w:ascii="Calibri" w:hAnsi="Calibri" w:cs="Calibri"/>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57</Words>
  <Characters>328</Characters>
  <Lines>2</Lines>
  <Paragraphs>1</Paragraphs>
  <TotalTime>0</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2024-10-11T19:41:09Z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