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lang w:val="en-US" w:eastAsia="zh-CN"/>
        </w:rPr>
        <w:t>民丰县萨勒吾则克乡中心小学</w:t>
      </w:r>
      <w:r>
        <w:rPr>
          <w:rFonts w:hint="eastAsia" w:ascii="方正小标宋_GBK" w:hAnsi="华文中宋" w:eastAsia="方正小标宋_GBK" w:cs="宋体"/>
          <w:b/>
          <w:color w:val="auto"/>
          <w:kern w:val="0"/>
          <w:sz w:val="48"/>
          <w:szCs w:val="48"/>
          <w:highlight w:val="none"/>
        </w:rPr>
        <w:t>整体支出绩效</w:t>
      </w:r>
    </w:p>
    <w:p>
      <w:pPr>
        <w:spacing w:line="540" w:lineRule="exact"/>
        <w:jc w:val="center"/>
        <w:rPr>
          <w:rFonts w:ascii="方正小标宋_GBK" w:hAnsi="华文中宋" w:eastAsia="方正小标宋_GBK" w:cs="宋体"/>
          <w:b/>
          <w:color w:val="auto"/>
          <w:kern w:val="0"/>
          <w:sz w:val="48"/>
          <w:szCs w:val="48"/>
          <w:highlight w:val="none"/>
        </w:rPr>
      </w:pPr>
      <w:r>
        <w:rPr>
          <w:rFonts w:hint="eastAsia" w:ascii="方正小标宋_GBK" w:hAnsi="华文中宋" w:eastAsia="方正小标宋_GBK" w:cs="宋体"/>
          <w:b/>
          <w:color w:val="auto"/>
          <w:kern w:val="0"/>
          <w:sz w:val="48"/>
          <w:szCs w:val="48"/>
          <w:highlight w:val="none"/>
        </w:rPr>
        <w:t>自评报告</w:t>
      </w:r>
    </w:p>
    <w:p>
      <w:pPr>
        <w:spacing w:line="540" w:lineRule="exact"/>
        <w:jc w:val="center"/>
        <w:rPr>
          <w:rFonts w:ascii="华文中宋" w:hAnsi="华文中宋" w:eastAsia="华文中宋" w:cs="宋体"/>
          <w:b/>
          <w:color w:val="auto"/>
          <w:kern w:val="0"/>
          <w:sz w:val="52"/>
          <w:szCs w:val="52"/>
          <w:highlight w:val="none"/>
        </w:rPr>
      </w:pPr>
    </w:p>
    <w:p>
      <w:pPr>
        <w:spacing w:line="540" w:lineRule="exact"/>
        <w:jc w:val="center"/>
        <w:rPr>
          <w:rFonts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w:t>
      </w:r>
      <w:r>
        <w:rPr>
          <w:rFonts w:hint="eastAsia" w:ascii="仿宋_GB2312" w:hAnsi="宋体" w:eastAsia="仿宋_GB2312"/>
          <w:b/>
          <w:bCs w:val="0"/>
          <w:color w:val="auto"/>
          <w:sz w:val="32"/>
          <w:szCs w:val="32"/>
          <w:highlight w:val="none"/>
        </w:rPr>
        <w:t>202</w:t>
      </w:r>
      <w:r>
        <w:rPr>
          <w:rFonts w:hint="eastAsia" w:ascii="仿宋_GB2312" w:hAnsi="宋体" w:eastAsia="仿宋_GB2312"/>
          <w:b/>
          <w:bCs w:val="0"/>
          <w:color w:val="auto"/>
          <w:sz w:val="32"/>
          <w:szCs w:val="32"/>
          <w:highlight w:val="none"/>
          <w:lang w:val="en-US" w:eastAsia="zh-CN"/>
        </w:rPr>
        <w:t>3</w:t>
      </w:r>
      <w:bookmarkStart w:id="1" w:name="_GoBack"/>
      <w:bookmarkEnd w:id="1"/>
      <w:r>
        <w:rPr>
          <w:rFonts w:hint="eastAsia" w:hAnsi="宋体" w:eastAsia="仿宋_GB2312" w:cs="宋体"/>
          <w:b/>
          <w:bCs w:val="0"/>
          <w:color w:val="auto"/>
          <w:kern w:val="0"/>
          <w:sz w:val="36"/>
          <w:szCs w:val="36"/>
          <w:highlight w:val="none"/>
        </w:rPr>
        <w:t>年度</w:t>
      </w:r>
      <w:r>
        <w:rPr>
          <w:rFonts w:hint="eastAsia" w:hAnsi="宋体" w:eastAsia="仿宋_GB2312" w:cs="宋体"/>
          <w:color w:val="auto"/>
          <w:kern w:val="0"/>
          <w:sz w:val="36"/>
          <w:szCs w:val="36"/>
          <w:highlight w:val="none"/>
        </w:rPr>
        <w:t>）</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spacing w:line="540" w:lineRule="exact"/>
        <w:ind w:firstLine="720" w:firstLineChars="200"/>
        <w:rPr>
          <w:rFonts w:hint="eastAsia" w:hAnsi="宋体" w:eastAsia="仿宋_GB2312" w:cs="宋体"/>
          <w:color w:val="auto"/>
          <w:kern w:val="0"/>
          <w:sz w:val="36"/>
          <w:szCs w:val="36"/>
          <w:highlight w:val="none"/>
          <w:lang w:val="en-US" w:eastAsia="zh-CN"/>
        </w:rPr>
      </w:pPr>
      <w:r>
        <w:rPr>
          <w:rFonts w:hint="eastAsia" w:hAnsi="宋体" w:eastAsia="仿宋_GB2312" w:cs="宋体"/>
          <w:color w:val="auto"/>
          <w:kern w:val="0"/>
          <w:sz w:val="36"/>
          <w:szCs w:val="36"/>
          <w:highlight w:val="none"/>
          <w:lang w:val="en-US" w:eastAsia="zh-CN"/>
        </w:rPr>
        <w:t>部门单位名称（公章）：民丰县萨勒吾则克乡中心小学</w:t>
      </w:r>
    </w:p>
    <w:p>
      <w:pPr>
        <w:spacing w:line="540" w:lineRule="exact"/>
        <w:ind w:firstLine="720" w:firstLineChars="200"/>
        <w:rPr>
          <w:rFonts w:hint="eastAsia" w:hAnsi="宋体" w:eastAsia="仿宋_GB2312" w:cs="宋体"/>
          <w:color w:val="auto"/>
          <w:kern w:val="0"/>
          <w:sz w:val="36"/>
          <w:szCs w:val="36"/>
          <w:highlight w:val="none"/>
        </w:rPr>
      </w:pPr>
      <w:r>
        <w:rPr>
          <w:rFonts w:hint="eastAsia" w:hAnsi="宋体" w:eastAsia="仿宋_GB2312" w:cs="宋体"/>
          <w:color w:val="auto"/>
          <w:kern w:val="0"/>
          <w:sz w:val="36"/>
          <w:szCs w:val="36"/>
          <w:highlight w:val="none"/>
        </w:rPr>
        <w:t>填报时间：2024年</w:t>
      </w:r>
      <w:r>
        <w:rPr>
          <w:rFonts w:hint="eastAsia" w:hAnsi="宋体" w:eastAsia="仿宋_GB2312" w:cs="宋体"/>
          <w:color w:val="auto"/>
          <w:kern w:val="0"/>
          <w:sz w:val="36"/>
          <w:szCs w:val="36"/>
          <w:highlight w:val="none"/>
          <w:lang w:val="en-US" w:eastAsia="zh-CN"/>
        </w:rPr>
        <w:t>5</w:t>
      </w:r>
      <w:r>
        <w:rPr>
          <w:rFonts w:hint="eastAsia" w:hAnsi="宋体" w:eastAsia="仿宋_GB2312" w:cs="宋体"/>
          <w:color w:val="auto"/>
          <w:kern w:val="0"/>
          <w:sz w:val="36"/>
          <w:szCs w:val="36"/>
          <w:highlight w:val="none"/>
        </w:rPr>
        <w:t>月</w:t>
      </w:r>
      <w:r>
        <w:rPr>
          <w:rFonts w:hint="eastAsia" w:hAnsi="宋体" w:eastAsia="仿宋_GB2312" w:cs="宋体"/>
          <w:color w:val="auto"/>
          <w:kern w:val="0"/>
          <w:sz w:val="36"/>
          <w:szCs w:val="36"/>
          <w:highlight w:val="none"/>
          <w:lang w:val="en-US" w:eastAsia="zh-CN"/>
        </w:rPr>
        <w:t>10</w:t>
      </w:r>
      <w:r>
        <w:rPr>
          <w:rFonts w:hint="eastAsia" w:hAnsi="宋体" w:eastAsia="仿宋_GB2312" w:cs="宋体"/>
          <w:color w:val="auto"/>
          <w:kern w:val="0"/>
          <w:sz w:val="36"/>
          <w:szCs w:val="36"/>
          <w:highlight w:val="none"/>
        </w:rPr>
        <w:t>日</w:t>
      </w:r>
    </w:p>
    <w:p>
      <w:pPr>
        <w:spacing w:line="700" w:lineRule="exact"/>
        <w:jc w:val="left"/>
        <w:rPr>
          <w:rFonts w:hAnsi="宋体" w:eastAsia="仿宋_GB2312" w:cs="宋体"/>
          <w:color w:val="auto"/>
          <w:kern w:val="0"/>
          <w:sz w:val="36"/>
          <w:szCs w:val="36"/>
          <w:highlight w:val="none"/>
        </w:rPr>
      </w:pPr>
    </w:p>
    <w:p>
      <w:pPr>
        <w:spacing w:line="700" w:lineRule="exact"/>
        <w:jc w:val="left"/>
        <w:rPr>
          <w:rFonts w:hAnsi="宋体" w:eastAsia="仿宋_GB2312" w:cs="宋体"/>
          <w:color w:val="auto"/>
          <w:kern w:val="0"/>
          <w:sz w:val="36"/>
          <w:szCs w:val="36"/>
          <w:highlight w:val="none"/>
        </w:rPr>
      </w:pP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基本概况：</w:t>
      </w:r>
    </w:p>
    <w:p>
      <w:pPr>
        <w:spacing w:line="600" w:lineRule="exact"/>
        <w:ind w:firstLine="961" w:firstLineChars="300"/>
        <w:jc w:val="left"/>
        <w:rPr>
          <w:rFonts w:hint="eastAsia" w:ascii="Arial" w:hAnsi="Arial" w:cs="Arial"/>
          <w:b/>
          <w:bCs/>
          <w:color w:val="auto"/>
          <w:sz w:val="30"/>
          <w:szCs w:val="30"/>
          <w:highlight w:val="none"/>
        </w:rPr>
      </w:pPr>
      <w:r>
        <w:rPr>
          <w:rFonts w:hint="eastAsia" w:ascii="黑体" w:hAnsi="黑体" w:eastAsia="黑体" w:cs="宋体"/>
          <w:b/>
          <w:color w:val="auto"/>
          <w:sz w:val="32"/>
          <w:szCs w:val="32"/>
          <w:highlight w:val="none"/>
          <w:lang w:bidi="ar"/>
        </w:rPr>
        <w:t>（一）</w:t>
      </w:r>
      <w:r>
        <w:rPr>
          <w:rFonts w:ascii="黑体" w:hAnsi="黑体" w:eastAsia="黑体" w:cs="宋体"/>
          <w:b/>
          <w:color w:val="auto"/>
          <w:sz w:val="32"/>
          <w:szCs w:val="32"/>
          <w:highlight w:val="none"/>
          <w:lang w:bidi="ar"/>
        </w:rPr>
        <w:t>部门单位基本情况</w:t>
      </w:r>
      <w:r>
        <w:rPr>
          <w:rFonts w:hint="eastAsia" w:ascii="Arial" w:hAnsi="Arial" w:cs="Arial"/>
          <w:b/>
          <w:bCs/>
          <w:color w:val="auto"/>
          <w:sz w:val="30"/>
          <w:szCs w:val="30"/>
          <w:highlight w:val="none"/>
        </w:rPr>
        <w:t>：</w:t>
      </w:r>
    </w:p>
    <w:p>
      <w:pPr>
        <w:pStyle w:val="1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Times New Roman"/>
          <w:b/>
          <w:bCs w:val="0"/>
          <w:color w:val="auto"/>
          <w:sz w:val="32"/>
          <w:szCs w:val="32"/>
          <w:highlight w:val="none"/>
        </w:rPr>
      </w:pPr>
      <w:bookmarkStart w:id="0" w:name="_Hlk43849111"/>
      <w:bookmarkEnd w:id="0"/>
      <w:r>
        <w:rPr>
          <w:rFonts w:hint="eastAsia" w:ascii="仿宋_GB2312" w:hAnsi="仿宋" w:eastAsia="仿宋_GB2312" w:cs="Times New Roman"/>
          <w:b/>
          <w:bCs w:val="0"/>
          <w:color w:val="auto"/>
          <w:sz w:val="32"/>
          <w:szCs w:val="32"/>
          <w:highlight w:val="none"/>
        </w:rPr>
        <w:t>1．</w:t>
      </w:r>
      <w:r>
        <w:rPr>
          <w:rFonts w:hint="eastAsia" w:ascii="仿宋_GB2312" w:hAnsi="仿宋" w:eastAsia="仿宋_GB2312" w:cs="Times New Roman"/>
          <w:b/>
          <w:bCs w:val="0"/>
          <w:color w:val="auto"/>
          <w:sz w:val="32"/>
          <w:szCs w:val="32"/>
          <w:highlight w:val="none"/>
          <w:lang w:val="en-US" w:eastAsia="zh-CN"/>
        </w:rPr>
        <w:t>单位</w:t>
      </w:r>
      <w:r>
        <w:rPr>
          <w:rFonts w:hint="eastAsia" w:ascii="仿宋_GB2312" w:hAnsi="仿宋" w:eastAsia="仿宋_GB2312" w:cs="Times New Roman"/>
          <w:b/>
          <w:bCs w:val="0"/>
          <w:color w:val="auto"/>
          <w:sz w:val="32"/>
          <w:szCs w:val="32"/>
          <w:highlight w:val="none"/>
        </w:rPr>
        <w:t>主要职能</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b/>
          <w:bCs w:val="0"/>
          <w:color w:val="auto"/>
          <w:sz w:val="32"/>
          <w:szCs w:val="32"/>
          <w:highlight w:val="none"/>
        </w:rPr>
      </w:pPr>
      <w:r>
        <w:rPr>
          <w:rFonts w:hint="eastAsia" w:ascii="仿宋_GB2312" w:hAnsi="宋体" w:eastAsia="仿宋_GB2312"/>
          <w:b w:val="0"/>
          <w:bCs/>
          <w:sz w:val="32"/>
          <w:szCs w:val="32"/>
        </w:rPr>
        <w:t>民丰县</w:t>
      </w:r>
      <w:r>
        <w:rPr>
          <w:rFonts w:hint="eastAsia" w:ascii="仿宋_GB2312" w:hAnsi="宋体" w:eastAsia="仿宋_GB2312"/>
          <w:b w:val="0"/>
          <w:bCs/>
          <w:sz w:val="32"/>
          <w:szCs w:val="32"/>
          <w:lang w:eastAsia="zh-CN"/>
        </w:rPr>
        <w:t>萨勒吾则克乡中心小学</w:t>
      </w:r>
      <w:r>
        <w:rPr>
          <w:rFonts w:hint="eastAsia" w:ascii="仿宋_GB2312" w:hAnsi="宋体" w:eastAsia="仿宋_GB2312"/>
          <w:b w:val="0"/>
          <w:bCs/>
          <w:sz w:val="32"/>
          <w:szCs w:val="32"/>
        </w:rPr>
        <w:t>在县委领导下，以习近平新时代中国特色社会主义思想为指导，全面贯彻党的十九大精神和党的教育方针，认真落实立德树人根本任务，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主要职责是：组织教育教学、科学研究活动，保证教育教学质量。维护教职工利益，保障教职工合法权益，以教职工和学生的人生幸福和生命质量作为重点。承办学前双语教育，积极落实学前双语教育发展的政策，维护民族地区社会稳定和民族教育发展。</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仿宋_GB2312" w:hAnsi="仿宋" w:eastAsia="仿宋_GB2312" w:cs="Times New Roman"/>
          <w:b/>
          <w:bCs w:val="0"/>
          <w:color w:val="auto"/>
          <w:sz w:val="32"/>
          <w:szCs w:val="32"/>
          <w:highlight w:val="none"/>
          <w:lang w:val="en-US" w:eastAsia="zh-CN"/>
        </w:rPr>
        <w:t>2.</w:t>
      </w:r>
      <w:r>
        <w:rPr>
          <w:rFonts w:hint="eastAsia" w:ascii="仿宋_GB2312" w:hAnsi="仿宋" w:eastAsia="仿宋_GB2312" w:cs="Times New Roman"/>
          <w:b/>
          <w:bCs w:val="0"/>
          <w:color w:val="auto"/>
          <w:sz w:val="32"/>
          <w:szCs w:val="32"/>
          <w:highlight w:val="none"/>
          <w:lang w:eastAsia="zh-CN"/>
        </w:rPr>
        <w:t>单位</w:t>
      </w:r>
      <w:r>
        <w:rPr>
          <w:rFonts w:hint="eastAsia" w:ascii="仿宋_GB2312" w:hAnsi="仿宋" w:eastAsia="仿宋_GB2312" w:cs="Times New Roman"/>
          <w:b/>
          <w:bCs w:val="0"/>
          <w:color w:val="auto"/>
          <w:sz w:val="32"/>
          <w:szCs w:val="32"/>
          <w:highlight w:val="none"/>
        </w:rPr>
        <w:t>机构设置及人员构成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宋体"/>
          <w:b/>
          <w:color w:val="auto"/>
          <w:sz w:val="32"/>
          <w:szCs w:val="32"/>
          <w:highlight w:val="none"/>
          <w:lang w:bidi="ar"/>
        </w:rPr>
      </w:pPr>
      <w:r>
        <w:rPr>
          <w:rFonts w:hint="eastAsia" w:ascii="仿宋_GB2312" w:hAnsi="宋体" w:eastAsia="仿宋_GB2312"/>
          <w:b w:val="0"/>
          <w:bCs/>
          <w:sz w:val="32"/>
          <w:szCs w:val="32"/>
        </w:rPr>
        <w:t>新疆和田地区民丰县萨勒吾则克乡小学部门决算包括：新疆和田地区民丰县萨勒吾则克乡小学部门本级决算。下设5个科室，分别是：行政办、教务处、纪检室、思政办、总务处。民丰县萨勒吾则克乡中心小学单位编制数34人，实有人数58人，其中：在职 58人，退休18人，离休0人；行政编制0人，参照公务员法管理事业人员0人，非参公事业人员0人。</w:t>
      </w:r>
      <w:r>
        <w:rPr>
          <w:rFonts w:hint="eastAsia" w:ascii="仿宋_GB2312" w:hAnsi="宋体" w:eastAsia="仿宋_GB2312"/>
          <w:b w:val="0"/>
          <w:bCs/>
          <w:sz w:val="32"/>
          <w:szCs w:val="32"/>
        </w:rPr>
        <w:cr/>
      </w:r>
      <w:r>
        <w:rPr>
          <w:rFonts w:hint="eastAsia" w:ascii="仿宋_GB2312" w:hAnsi="宋体" w:eastAsia="仿宋_GB2312"/>
          <w:b w:val="0"/>
          <w:bCs/>
          <w:sz w:val="32"/>
          <w:szCs w:val="32"/>
          <w:lang w:val="en-US" w:eastAsia="zh-CN"/>
        </w:rPr>
        <w:t xml:space="preserve">  </w:t>
      </w:r>
      <w:r>
        <w:rPr>
          <w:rFonts w:hint="eastAsia" w:ascii="黑体" w:hAnsi="黑体" w:eastAsia="黑体" w:cs="宋体"/>
          <w:b/>
          <w:color w:val="auto"/>
          <w:sz w:val="32"/>
          <w:szCs w:val="32"/>
          <w:highlight w:val="none"/>
          <w:lang w:bidi="ar"/>
        </w:rPr>
        <w:t>（二）</w:t>
      </w:r>
      <w:r>
        <w:rPr>
          <w:rFonts w:ascii="黑体" w:hAnsi="黑体" w:eastAsia="黑体" w:cs="宋体"/>
          <w:b/>
          <w:color w:val="auto"/>
          <w:sz w:val="32"/>
          <w:szCs w:val="32"/>
          <w:highlight w:val="none"/>
          <w:lang w:bidi="ar"/>
        </w:rPr>
        <w:t>部门单位年度重点工作：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目标1：正确贯彻执行党和国家的教育方针，政策，法规；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目标2：维护学校的教学秩序，为学生创造良好的学习环境；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目标3：积极稳妥地推进教育改革，按教育规律办事，不断提高教育质量；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目标4：根据学校规模，设置学校管理机构，建立健全各项规章制度和岗位责任制；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目标5：坚持教书育人，服务育人，环境育人方针，加强对学生的思想品德教育，使学生的德智体全面发展；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 xml:space="preserve">目标6：抓好教师队伍建设，使每个教师都热心于教育事业；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9"/>
          <w:rFonts w:hint="eastAsia" w:ascii="仿宋_GB2312" w:hAnsi="楷体" w:eastAsia="仿宋_GB2312"/>
          <w:b w:val="0"/>
          <w:color w:val="auto"/>
          <w:spacing w:val="-4"/>
          <w:sz w:val="32"/>
          <w:szCs w:val="32"/>
          <w:highlight w:val="none"/>
          <w:lang w:val="en-US" w:eastAsia="zh-CN"/>
        </w:rPr>
      </w:pPr>
      <w:r>
        <w:rPr>
          <w:rStyle w:val="9"/>
          <w:rFonts w:hint="eastAsia" w:ascii="仿宋_GB2312" w:hAnsi="楷体" w:eastAsia="仿宋_GB2312"/>
          <w:b w:val="0"/>
          <w:color w:val="auto"/>
          <w:spacing w:val="-4"/>
          <w:sz w:val="32"/>
          <w:szCs w:val="32"/>
          <w:highlight w:val="none"/>
          <w:lang w:val="en-US" w:eastAsia="zh-CN"/>
        </w:rPr>
        <w:t>目标7：做好安全防范，保证学生的人身安全。</w:t>
      </w:r>
    </w:p>
    <w:p>
      <w:pPr>
        <w:spacing w:line="600" w:lineRule="exact"/>
        <w:ind w:firstLine="641" w:firstLineChars="200"/>
        <w:jc w:val="left"/>
        <w:rPr>
          <w:rFonts w:hint="eastAsia"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（三）</w:t>
      </w:r>
      <w:r>
        <w:rPr>
          <w:rFonts w:ascii="黑体" w:hAnsi="黑体" w:eastAsia="黑体" w:cs="宋体"/>
          <w:b/>
          <w:color w:val="auto"/>
          <w:sz w:val="32"/>
          <w:szCs w:val="32"/>
          <w:highlight w:val="none"/>
          <w:lang w:bidi="ar"/>
        </w:rPr>
        <w:t>部门单位整体预算规模及安排情况：</w:t>
      </w:r>
    </w:p>
    <w:p>
      <w:pPr>
        <w:spacing w:line="540" w:lineRule="exact"/>
        <w:ind w:firstLine="564" w:firstLineChars="181"/>
        <w:rPr>
          <w:rStyle w:val="9"/>
          <w:rFonts w:hint="eastAsia" w:ascii="仿宋_GB2312" w:hAnsi="楷体" w:eastAsia="仿宋_GB2312"/>
          <w:b w:val="0"/>
          <w:color w:val="auto"/>
          <w:spacing w:val="-4"/>
          <w:sz w:val="32"/>
          <w:szCs w:val="32"/>
          <w:highlight w:val="none"/>
          <w:lang w:eastAsia="zh-CN"/>
        </w:rPr>
      </w:pPr>
      <w:r>
        <w:rPr>
          <w:rStyle w:val="9"/>
          <w:rFonts w:hint="eastAsia" w:ascii="仿宋_GB2312" w:hAnsi="楷体" w:eastAsia="仿宋_GB2312"/>
          <w:b w:val="0"/>
          <w:color w:val="auto"/>
          <w:spacing w:val="-4"/>
          <w:sz w:val="32"/>
          <w:szCs w:val="32"/>
          <w:highlight w:val="none"/>
          <w:lang w:val="en-US" w:eastAsia="zh-CN"/>
        </w:rPr>
        <w:t>包括年初预算安排、年中调整（追加减）情况，</w:t>
      </w:r>
      <w:r>
        <w:rPr>
          <w:rStyle w:val="9"/>
          <w:rFonts w:hint="eastAsia" w:ascii="仿宋_GB2312" w:hAnsi="楷体" w:eastAsia="仿宋_GB2312"/>
          <w:b w:val="0"/>
          <w:color w:val="auto"/>
          <w:spacing w:val="-4"/>
          <w:sz w:val="32"/>
          <w:szCs w:val="32"/>
          <w:highlight w:val="none"/>
          <w:lang w:eastAsia="zh-CN"/>
        </w:rPr>
        <w:t>资金使用主要内容、涉及的范围。</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color w:val="auto"/>
          <w:highlight w:val="none"/>
          <w:lang w:eastAsia="zh-CN"/>
        </w:rPr>
      </w:pPr>
      <w:r>
        <w:rPr>
          <w:rFonts w:hint="eastAsia" w:ascii="仿宋_GB2312" w:hAnsi="方正楷体简体" w:eastAsia="仿宋_GB2312" w:cs="宋体"/>
          <w:b/>
          <w:bCs/>
          <w:color w:val="auto"/>
          <w:sz w:val="32"/>
          <w:szCs w:val="32"/>
          <w:highlight w:val="none"/>
        </w:rPr>
        <w:t>1．部门</w:t>
      </w:r>
      <w:r>
        <w:rPr>
          <w:rFonts w:hint="eastAsia" w:ascii="仿宋_GB2312" w:hAnsi="方正楷体简体" w:eastAsia="仿宋_GB2312" w:cs="宋体"/>
          <w:b/>
          <w:bCs/>
          <w:color w:val="auto"/>
          <w:sz w:val="32"/>
          <w:szCs w:val="32"/>
          <w:highlight w:val="none"/>
          <w:lang w:eastAsia="zh-CN"/>
        </w:rPr>
        <w:t>单位</w:t>
      </w:r>
      <w:r>
        <w:rPr>
          <w:rFonts w:hint="eastAsia" w:ascii="仿宋_GB2312" w:hAnsi="方正楷体简体" w:eastAsia="仿宋_GB2312" w:cs="宋体"/>
          <w:b/>
          <w:bCs/>
          <w:color w:val="auto"/>
          <w:sz w:val="32"/>
          <w:szCs w:val="32"/>
          <w:highlight w:val="none"/>
        </w:rPr>
        <w:t>整体支出规模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中央安排资金：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0万元，预算数（调整后）15.56万元，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13.07万元，执行率84%。</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b w:val="0"/>
          <w:bCs w:val="0"/>
          <w:color w:val="auto"/>
          <w:kern w:val="2"/>
          <w:sz w:val="32"/>
          <w:szCs w:val="32"/>
          <w:highlight w:val="none"/>
          <w:lang w:val="en-US" w:eastAsia="zh-CN" w:bidi="ar-SA"/>
        </w:rPr>
        <w:t>自治区安排资金：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b w:val="0"/>
          <w:bCs w:val="0"/>
          <w:color w:val="auto"/>
          <w:kern w:val="2"/>
          <w:sz w:val="32"/>
          <w:szCs w:val="32"/>
          <w:highlight w:val="none"/>
          <w:lang w:val="en-US" w:eastAsia="zh-CN" w:bidi="ar-SA"/>
        </w:rPr>
      </w:pPr>
      <w:r>
        <w:rPr>
          <w:rFonts w:hint="eastAsia" w:ascii="仿宋_GB2312" w:hAnsi="方正楷体简体" w:eastAsia="仿宋_GB2312" w:cs="宋体"/>
          <w:color w:val="auto"/>
          <w:sz w:val="32"/>
          <w:szCs w:val="32"/>
          <w:highlight w:val="none"/>
        </w:rPr>
        <w:t>地（州、市）安排：年初预算数</w:t>
      </w:r>
      <w:r>
        <w:rPr>
          <w:rFonts w:hint="eastAsia" w:ascii="仿宋_GB2312" w:hAnsi="方正楷体简体" w:eastAsia="仿宋_GB2312" w:cs="宋体"/>
          <w:color w:val="auto"/>
          <w:sz w:val="32"/>
          <w:szCs w:val="32"/>
          <w:highlight w:val="none"/>
          <w:lang w:val="en-US" w:eastAsia="zh-CN"/>
        </w:rPr>
        <w:t>0万元，预算数（调整后）0万元，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rPr>
        <w:t>县（市、区）安排：年初预算数</w:t>
      </w:r>
      <w:r>
        <w:rPr>
          <w:rFonts w:hint="eastAsia" w:ascii="仿宋_GB2312" w:hAnsi="方正楷体简体" w:eastAsia="仿宋_GB2312" w:cs="宋体"/>
          <w:color w:val="auto"/>
          <w:sz w:val="32"/>
          <w:szCs w:val="32"/>
          <w:highlight w:val="none"/>
          <w:lang w:val="en-US" w:eastAsia="zh-CN"/>
        </w:rPr>
        <w:t>1140.58万元，预算数（调整后）1059.89万元，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1054.07万元，执行率99.45%。</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其他资金</w:t>
      </w:r>
      <w:r>
        <w:rPr>
          <w:rFonts w:hint="eastAsia" w:ascii="仿宋_GB2312" w:hAnsi="方正楷体简体" w:eastAsia="仿宋_GB2312" w:cs="宋体"/>
          <w:color w:val="auto"/>
          <w:sz w:val="32"/>
          <w:szCs w:val="32"/>
          <w:highlight w:val="none"/>
        </w:rPr>
        <w:t>：年初预算数</w:t>
      </w:r>
      <w:r>
        <w:rPr>
          <w:rFonts w:hint="eastAsia" w:ascii="仿宋_GB2312" w:hAnsi="方正楷体简体" w:eastAsia="仿宋_GB2312" w:cs="宋体"/>
          <w:color w:val="auto"/>
          <w:sz w:val="32"/>
          <w:szCs w:val="32"/>
          <w:highlight w:val="none"/>
          <w:lang w:val="en-US" w:eastAsia="zh-CN"/>
        </w:rPr>
        <w:t>15.56万元，预算数（调整后）0万元，</w:t>
      </w:r>
      <w:r>
        <w:rPr>
          <w:rFonts w:hint="eastAsia" w:ascii="仿宋_GB2312" w:hAnsi="方正楷体简体" w:eastAsia="仿宋_GB2312" w:cs="宋体"/>
          <w:color w:val="auto"/>
          <w:sz w:val="32"/>
          <w:szCs w:val="32"/>
          <w:highlight w:val="none"/>
        </w:rPr>
        <w:t>执行数</w:t>
      </w:r>
      <w:r>
        <w:rPr>
          <w:rFonts w:hint="eastAsia" w:ascii="仿宋_GB2312" w:hAnsi="方正楷体简体" w:eastAsia="仿宋_GB2312" w:cs="宋体"/>
          <w:color w:val="auto"/>
          <w:sz w:val="32"/>
          <w:szCs w:val="32"/>
          <w:highlight w:val="none"/>
          <w:lang w:val="en-US" w:eastAsia="zh-CN"/>
        </w:rPr>
        <w:t>0万元，执行率0%。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（1）基本支出情况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1059.89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1059.87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0.02万元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1054.07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99.45</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（2）预算项目支出情况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萨勒吾则克乡中心小学</w:t>
      </w:r>
      <w:r>
        <w:rPr>
          <w:rFonts w:hint="eastAsia" w:ascii="仿宋_GB2312" w:hAnsi="方正楷体简体" w:eastAsia="仿宋_GB2312" w:cs="宋体"/>
          <w:color w:val="auto"/>
          <w:sz w:val="32"/>
          <w:szCs w:val="32"/>
          <w:highlight w:val="none"/>
        </w:rPr>
        <w:t>预算项目支出数共计</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5.84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%；其中，年初</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预算批复的整体支出绩效目标表中，项目支出预算数</w:t>
      </w:r>
      <w:r>
        <w:rPr>
          <w:rFonts w:hint="eastAsia" w:ascii="仿宋_GB2312" w:hAnsi="方正楷体简体" w:eastAsia="仿宋_GB2312" w:cs="宋体"/>
          <w:color w:val="auto"/>
          <w:sz w:val="32"/>
          <w:szCs w:val="32"/>
          <w:highlight w:val="none"/>
          <w:lang w:val="en-US" w:eastAsia="zh-CN"/>
        </w:rPr>
        <w:t>5.84</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万元，年中追加项目支出预算数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0</w:t>
      </w:r>
      <w:r>
        <w:rPr>
          <w:rFonts w:hint="eastAsia" w:ascii="仿宋_GB2312" w:hAnsi="方正楷体简体" w:eastAsia="仿宋_GB2312" w:cs="宋体"/>
          <w:color w:val="auto"/>
          <w:sz w:val="32"/>
          <w:szCs w:val="32"/>
          <w:highlight w:val="none"/>
        </w:rPr>
        <w:t>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（3）专项资金项目支出情况</w:t>
      </w:r>
      <w:r>
        <w:rPr>
          <w:rFonts w:hint="eastAsia" w:ascii="仿宋_GB2312" w:hAnsi="方正楷体简体" w:eastAsia="仿宋_GB2312" w:cs="宋体"/>
          <w:color w:val="auto"/>
          <w:sz w:val="32"/>
          <w:szCs w:val="32"/>
          <w:highlight w:val="none"/>
        </w:rPr>
        <w:tab/>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hAnsi="方正楷体简体" w:eastAsia="仿宋_GB2312" w:cs="宋体"/>
          <w:color w:val="auto"/>
          <w:sz w:val="32"/>
          <w:szCs w:val="32"/>
          <w:highlight w:val="none"/>
        </w:rPr>
        <w:t>截至12月31日，上级专项资金项目共计</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个，全年预算数</w:t>
      </w:r>
      <w:r>
        <w:rPr>
          <w:rFonts w:hint="eastAsia" w:ascii="仿宋_GB2312" w:hAnsi="方正楷体简体" w:eastAsia="仿宋_GB2312" w:cs="宋体"/>
          <w:color w:val="auto"/>
          <w:sz w:val="32"/>
          <w:szCs w:val="32"/>
          <w:highlight w:val="none"/>
          <w:lang w:val="en-US" w:eastAsia="zh-CN"/>
        </w:rPr>
        <w:t>15.56</w:t>
      </w:r>
      <w:r>
        <w:rPr>
          <w:rFonts w:hint="eastAsia" w:ascii="仿宋_GB2312" w:hAnsi="方正楷体简体" w:eastAsia="仿宋_GB2312" w:cs="宋体"/>
          <w:color w:val="auto"/>
          <w:sz w:val="32"/>
          <w:szCs w:val="32"/>
          <w:highlight w:val="none"/>
        </w:rPr>
        <w:t>万元，资金执行数</w:t>
      </w:r>
      <w:r>
        <w:rPr>
          <w:rFonts w:hint="eastAsia" w:ascii="仿宋_GB2312" w:hAnsi="方正楷体简体" w:eastAsia="仿宋_GB2312" w:cs="宋体"/>
          <w:color w:val="auto"/>
          <w:sz w:val="32"/>
          <w:szCs w:val="32"/>
          <w:highlight w:val="none"/>
          <w:lang w:val="en-US" w:eastAsia="zh-CN"/>
        </w:rPr>
        <w:t>13.07</w:t>
      </w:r>
      <w:r>
        <w:rPr>
          <w:rFonts w:hint="eastAsia" w:ascii="仿宋_GB2312" w:hAnsi="方正楷体简体" w:eastAsia="仿宋_GB2312" w:cs="宋体"/>
          <w:color w:val="auto"/>
          <w:sz w:val="32"/>
          <w:szCs w:val="32"/>
          <w:highlight w:val="none"/>
        </w:rPr>
        <w:t>万元，执行率</w:t>
      </w:r>
      <w:r>
        <w:rPr>
          <w:rFonts w:hint="eastAsia" w:ascii="仿宋_GB2312" w:hAnsi="方正楷体简体" w:eastAsia="仿宋_GB2312" w:cs="宋体"/>
          <w:color w:val="auto"/>
          <w:sz w:val="32"/>
          <w:szCs w:val="32"/>
          <w:highlight w:val="none"/>
          <w:lang w:val="en-US" w:eastAsia="zh-CN"/>
        </w:rPr>
        <w:t>84</w:t>
      </w:r>
      <w:r>
        <w:rPr>
          <w:rFonts w:hint="eastAsia" w:ascii="仿宋_GB2312" w:hAnsi="方正楷体简体" w:eastAsia="仿宋_GB2312" w:cs="宋体"/>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2．使用方法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color w:val="auto"/>
          <w:sz w:val="32"/>
          <w:szCs w:val="32"/>
          <w:highlight w:val="none"/>
        </w:rPr>
        <w:t>基本支出由财政</w:t>
      </w:r>
      <w:r>
        <w:rPr>
          <w:rFonts w:hint="eastAsia" w:ascii="仿宋_GB2312" w:hAnsi="方正楷体简体" w:eastAsia="仿宋_GB2312" w:cs="宋体"/>
          <w:color w:val="auto"/>
          <w:sz w:val="32"/>
          <w:szCs w:val="32"/>
          <w:highlight w:val="none"/>
          <w:lang w:eastAsia="zh-CN"/>
        </w:rPr>
        <w:t>单位</w:t>
      </w:r>
      <w:r>
        <w:rPr>
          <w:rFonts w:hint="eastAsia" w:ascii="仿宋_GB2312" w:hAnsi="方正楷体简体" w:eastAsia="仿宋_GB2312" w:cs="宋体"/>
          <w:color w:val="auto"/>
          <w:sz w:val="32"/>
          <w:szCs w:val="32"/>
          <w:highlight w:val="none"/>
        </w:rPr>
        <w:t>按照进度每月分期拨付，人员支出按照工资计划发放工资；涉及资</w:t>
      </w:r>
      <w:r>
        <w:rPr>
          <w:rFonts w:hint="eastAsia" w:ascii="仿宋_GB2312" w:hAnsi="方正楷体简体" w:eastAsia="仿宋_GB2312" w:cs="宋体"/>
          <w:color w:val="auto"/>
          <w:sz w:val="32"/>
          <w:szCs w:val="32"/>
          <w:highlight w:val="none"/>
          <w:lang w:eastAsia="zh-CN"/>
        </w:rPr>
        <w:t>金支</w:t>
      </w:r>
      <w:r>
        <w:rPr>
          <w:rFonts w:hint="eastAsia" w:ascii="仿宋_GB2312" w:hAnsi="方正楷体简体" w:eastAsia="仿宋_GB2312" w:cs="宋体"/>
          <w:color w:val="auto"/>
          <w:sz w:val="32"/>
          <w:szCs w:val="32"/>
          <w:highlight w:val="none"/>
        </w:rPr>
        <w:t>出按照我单位《内控制度》中设定的流程申报审批进行；项目支出属于政府采购的，组织人员制定采购计划，委托公共资源交易中心或采购中心进行公开招标、邀请招标等方式进行；属于非政府采购的项目，按照“三重一大”制度规定，重大项目支出上党组会研究决定。</w:t>
      </w:r>
    </w:p>
    <w:p>
      <w:pPr>
        <w:keepNext w:val="0"/>
        <w:keepLines w:val="0"/>
        <w:pageBreakBefore w:val="0"/>
        <w:tabs>
          <w:tab w:val="left" w:pos="312"/>
        </w:tabs>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3．主要内容及涉及范围</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color w:val="auto"/>
          <w:highlight w:val="none"/>
        </w:rPr>
      </w:pPr>
      <w:r>
        <w:rPr>
          <w:rFonts w:hint="eastAsia" w:hAnsi="方正楷体简体"/>
          <w:color w:val="auto"/>
          <w:highlight w:val="none"/>
        </w:rPr>
        <w:t>（1）基本支出包括人员经费和公用经费。公用经费主要包括：办公费、印刷费、咨询费、手续费、水费、电费、邮电费、取暖费、物业管理费、差旅费、维修（护）费、租赁费、会议费、培训费、公务接待费、专用材料费、专用燃料费、劳务费、工会经费、福利费、公务用车运行维护费、其他交通费用、税金及附加费用、其他商品和服务支出、办公设备购置、专用设备购置等。</w:t>
      </w:r>
    </w:p>
    <w:p>
      <w:pPr>
        <w:pStyle w:val="13"/>
        <w:keepNext w:val="0"/>
        <w:keepLines w:val="0"/>
        <w:pageBreakBefore w:val="0"/>
        <w:kinsoku/>
        <w:wordWrap/>
        <w:overflowPunct/>
        <w:topLinePunct w:val="0"/>
        <w:autoSpaceDE/>
        <w:autoSpaceDN/>
        <w:bidi w:val="0"/>
        <w:adjustRightInd/>
        <w:snapToGrid/>
        <w:spacing w:line="560" w:lineRule="exact"/>
        <w:ind w:firstLineChars="200"/>
        <w:jc w:val="both"/>
        <w:textAlignment w:val="auto"/>
        <w:rPr>
          <w:rFonts w:hAnsi="方正楷体简体"/>
          <w:b/>
          <w:color w:val="auto"/>
          <w:highlight w:val="none"/>
        </w:rPr>
      </w:pPr>
      <w:r>
        <w:rPr>
          <w:rFonts w:hint="eastAsia" w:hAnsi="方正楷体简体"/>
          <w:color w:val="auto"/>
          <w:highlight w:val="none"/>
        </w:rPr>
        <w:t>（2）202</w:t>
      </w:r>
      <w:r>
        <w:rPr>
          <w:rFonts w:hint="eastAsia" w:hAnsi="方正楷体简体"/>
          <w:color w:val="auto"/>
          <w:highlight w:val="none"/>
          <w:lang w:val="en-US" w:eastAsia="zh-CN"/>
        </w:rPr>
        <w:t>3</w:t>
      </w:r>
      <w:r>
        <w:rPr>
          <w:rFonts w:hint="eastAsia" w:hAnsi="方正楷体简体"/>
          <w:color w:val="auto"/>
          <w:highlight w:val="none"/>
        </w:rPr>
        <w:t>年度</w:t>
      </w:r>
      <w:r>
        <w:rPr>
          <w:rFonts w:hint="eastAsia" w:hAnsi="方正楷体简体"/>
          <w:color w:val="auto"/>
          <w:highlight w:val="none"/>
          <w:lang w:eastAsia="zh-CN"/>
        </w:rPr>
        <w:t>萨勒吾则克乡中心小学</w:t>
      </w:r>
      <w:r>
        <w:rPr>
          <w:rFonts w:hint="eastAsia" w:hAnsi="方正楷体简体"/>
          <w:color w:val="auto"/>
          <w:highlight w:val="none"/>
        </w:rPr>
        <w:t>项目支出共涉及</w:t>
      </w:r>
      <w:r>
        <w:rPr>
          <w:rFonts w:hint="eastAsia" w:hAnsi="方正楷体简体"/>
          <w:color w:val="auto"/>
          <w:highlight w:val="none"/>
          <w:lang w:val="en-US" w:eastAsia="zh-CN"/>
        </w:rPr>
        <w:t>5</w:t>
      </w:r>
      <w:r>
        <w:rPr>
          <w:rFonts w:hint="eastAsia" w:hAnsi="方正楷体简体"/>
          <w:color w:val="auto"/>
          <w:highlight w:val="none"/>
        </w:rPr>
        <w:t>个项目，分别为：</w:t>
      </w:r>
    </w:p>
    <w:tbl>
      <w:tblPr>
        <w:tblStyle w:val="7"/>
        <w:tblW w:w="9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6"/>
        <w:gridCol w:w="2525"/>
        <w:gridCol w:w="2783"/>
      </w:tblGrid>
      <w:tr>
        <w:trPr>
          <w:trHeight w:val="90" w:hRule="atLeast"/>
        </w:trPr>
        <w:tc>
          <w:tcPr>
            <w:tcW w:w="4606"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rPr>
            </w:pPr>
            <w:r>
              <w:rPr>
                <w:rStyle w:val="9"/>
                <w:rFonts w:hint="eastAsia" w:ascii="仿宋_GB2312" w:hAnsi="黑体" w:eastAsia="仿宋_GB2312" w:cs="Times New Roman"/>
                <w:b w:val="0"/>
                <w:color w:val="auto"/>
                <w:spacing w:val="-4"/>
                <w:sz w:val="32"/>
                <w:szCs w:val="32"/>
                <w:highlight w:val="none"/>
              </w:rPr>
              <w:t>项目名称</w:t>
            </w:r>
          </w:p>
        </w:tc>
        <w:tc>
          <w:tcPr>
            <w:tcW w:w="2525" w:type="dxa"/>
            <w:vAlign w:val="center"/>
          </w:tcPr>
          <w:p>
            <w:pPr>
              <w:pStyle w:val="12"/>
              <w:spacing w:line="560" w:lineRule="exact"/>
              <w:ind w:firstLine="200" w:firstLineChars="0"/>
              <w:jc w:val="both"/>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rPr>
              <w:t>总预算</w:t>
            </w:r>
            <w:r>
              <w:rPr>
                <w:rStyle w:val="9"/>
                <w:rFonts w:hint="eastAsia" w:ascii="仿宋_GB2312" w:hAnsi="黑体" w:eastAsia="仿宋_GB2312" w:cs="Times New Roman"/>
                <w:b w:val="0"/>
                <w:color w:val="auto"/>
                <w:spacing w:val="-4"/>
                <w:sz w:val="32"/>
                <w:szCs w:val="32"/>
                <w:highlight w:val="none"/>
                <w:lang w:eastAsia="zh-CN"/>
              </w:rPr>
              <w:t>（</w:t>
            </w:r>
            <w:r>
              <w:rPr>
                <w:rStyle w:val="9"/>
                <w:rFonts w:hint="eastAsia" w:ascii="仿宋_GB2312" w:hAnsi="黑体" w:eastAsia="仿宋_GB2312" w:cs="Times New Roman"/>
                <w:b w:val="0"/>
                <w:color w:val="auto"/>
                <w:spacing w:val="-4"/>
                <w:sz w:val="32"/>
                <w:szCs w:val="32"/>
                <w:highlight w:val="none"/>
                <w:lang w:val="en-US" w:eastAsia="zh-CN"/>
              </w:rPr>
              <w:t>万元</w:t>
            </w:r>
            <w:r>
              <w:rPr>
                <w:rStyle w:val="9"/>
                <w:rFonts w:hint="eastAsia" w:ascii="仿宋_GB2312" w:hAnsi="黑体" w:eastAsia="仿宋_GB2312" w:cs="Times New Roman"/>
                <w:b w:val="0"/>
                <w:color w:val="auto"/>
                <w:spacing w:val="-4"/>
                <w:sz w:val="32"/>
                <w:szCs w:val="32"/>
                <w:highlight w:val="none"/>
                <w:lang w:eastAsia="zh-CN"/>
              </w:rPr>
              <w:t>）</w:t>
            </w:r>
          </w:p>
        </w:tc>
        <w:tc>
          <w:tcPr>
            <w:tcW w:w="2783" w:type="dxa"/>
            <w:vAlign w:val="center"/>
          </w:tcPr>
          <w:p>
            <w:pPr>
              <w:pStyle w:val="12"/>
              <w:spacing w:line="560" w:lineRule="exact"/>
              <w:ind w:firstLine="200" w:firstLineChars="0"/>
              <w:jc w:val="center"/>
              <w:rPr>
                <w:rStyle w:val="9"/>
                <w:rFonts w:hint="eastAsia" w:ascii="仿宋_GB2312" w:hAnsi="黑体" w:eastAsia="仿宋_GB2312" w:cs="Times New Roman"/>
                <w:b w:val="0"/>
                <w:color w:val="auto"/>
                <w:spacing w:val="-4"/>
                <w:sz w:val="32"/>
                <w:szCs w:val="32"/>
                <w:highlight w:val="none"/>
                <w:lang w:eastAsia="zh-CN"/>
              </w:rPr>
            </w:pPr>
            <w:r>
              <w:rPr>
                <w:rStyle w:val="9"/>
                <w:rFonts w:hint="eastAsia" w:ascii="仿宋_GB2312" w:hAnsi="黑体" w:eastAsia="仿宋_GB2312" w:cs="Times New Roman"/>
                <w:b w:val="0"/>
                <w:color w:val="auto"/>
                <w:spacing w:val="-4"/>
                <w:sz w:val="32"/>
                <w:szCs w:val="32"/>
                <w:highlight w:val="none"/>
                <w:lang w:eastAsia="zh-CN"/>
              </w:rPr>
              <w:t>项目属性</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县配套教师培训经费</w:t>
            </w:r>
          </w:p>
        </w:tc>
        <w:tc>
          <w:tcPr>
            <w:tcW w:w="2525" w:type="dxa"/>
            <w:vAlign w:val="bottom"/>
          </w:tcPr>
          <w:p>
            <w:pPr>
              <w:keepNext w:val="0"/>
              <w:keepLines w:val="0"/>
              <w:widowControl/>
              <w:suppressLineNumbers w:val="0"/>
              <w:jc w:val="right"/>
              <w:textAlignment w:val="bottom"/>
              <w:rPr>
                <w:rFonts w:hint="default" w:ascii="仿宋_GB2312" w:hAnsi="仿宋" w:eastAsia="仿宋_GB2312" w:cs="宋体"/>
                <w:color w:val="auto"/>
                <w:sz w:val="32"/>
                <w:szCs w:val="32"/>
                <w:highlight w:val="none"/>
                <w:lang w:val="en-US"/>
              </w:rPr>
            </w:pPr>
            <w:r>
              <w:rPr>
                <w:rFonts w:hint="default" w:ascii="Calibri" w:hAnsi="Calibri" w:eastAsia="宋体" w:cs="Calibri"/>
                <w:i w:val="0"/>
                <w:color w:val="000000"/>
                <w:kern w:val="0"/>
                <w:sz w:val="24"/>
                <w:szCs w:val="24"/>
                <w:u w:val="none"/>
                <w:lang w:val="en-US" w:eastAsia="zh-CN" w:bidi="ar"/>
              </w:rPr>
              <w:t>4.61</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县配套公用经费</w:t>
            </w:r>
          </w:p>
        </w:tc>
        <w:tc>
          <w:tcPr>
            <w:tcW w:w="2525" w:type="dxa"/>
            <w:vAlign w:val="bottom"/>
          </w:tcPr>
          <w:p>
            <w:pPr>
              <w:keepNext w:val="0"/>
              <w:keepLines w:val="0"/>
              <w:widowControl/>
              <w:suppressLineNumbers w:val="0"/>
              <w:jc w:val="righ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1.23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年初预算</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11.03</w:t>
            </w:r>
          </w:p>
        </w:tc>
        <w:tc>
          <w:tcPr>
            <w:tcW w:w="2783" w:type="dxa"/>
            <w:vAlign w:val="center"/>
          </w:tcPr>
          <w:p>
            <w:pPr>
              <w:keepNext w:val="0"/>
              <w:keepLines w:val="0"/>
              <w:widowControl/>
              <w:suppressLineNumbers w:val="0"/>
              <w:jc w:val="lef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r>
      <w:tr>
        <w:tc>
          <w:tcPr>
            <w:tcW w:w="4606" w:type="dxa"/>
            <w:vAlign w:val="bottom"/>
          </w:tcPr>
          <w:p>
            <w:pPr>
              <w:keepNext w:val="0"/>
              <w:keepLines w:val="0"/>
              <w:widowControl/>
              <w:suppressLineNumbers w:val="0"/>
              <w:jc w:val="left"/>
              <w:textAlignment w:val="bottom"/>
              <w:rPr>
                <w:rFonts w:hint="eastAsia" w:ascii="仿宋_GB2312" w:hAnsi="仿宋" w:eastAsia="仿宋_GB2312" w:cs="宋体"/>
                <w:color w:val="auto"/>
                <w:sz w:val="32"/>
                <w:szCs w:val="32"/>
                <w:highlight w:val="none"/>
              </w:rPr>
            </w:pPr>
            <w:r>
              <w:rPr>
                <w:rFonts w:hint="default" w:ascii="Calibri" w:hAnsi="Calibri" w:eastAsia="宋体" w:cs="Calibri"/>
                <w:i w:val="0"/>
                <w:color w:val="000000"/>
                <w:kern w:val="0"/>
                <w:sz w:val="24"/>
                <w:szCs w:val="24"/>
                <w:u w:val="none"/>
                <w:lang w:val="en-US" w:eastAsia="zh-CN" w:bidi="ar"/>
              </w:rPr>
              <w:t>2022年城乡义务教育项目直达资金的通知（农村学生营养膳食补助）</w:t>
            </w:r>
          </w:p>
        </w:tc>
        <w:tc>
          <w:tcPr>
            <w:tcW w:w="2525" w:type="dxa"/>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2.49</w:t>
            </w:r>
          </w:p>
        </w:tc>
        <w:tc>
          <w:tcPr>
            <w:tcW w:w="2783" w:type="dxa"/>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r>
      <w:tr>
        <w:tc>
          <w:tcPr>
            <w:tcW w:w="4606" w:type="dxa"/>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年乡村学校少年宫经费</w:t>
            </w:r>
          </w:p>
        </w:tc>
        <w:tc>
          <w:tcPr>
            <w:tcW w:w="2525" w:type="dxa"/>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2.04</w:t>
            </w:r>
          </w:p>
        </w:tc>
        <w:tc>
          <w:tcPr>
            <w:tcW w:w="2783" w:type="dxa"/>
            <w:vAlign w:val="center"/>
          </w:tcPr>
          <w:p>
            <w:pPr>
              <w:keepNext w:val="0"/>
              <w:keepLines w:val="0"/>
              <w:widowControl/>
              <w:suppressLineNumbers w:val="0"/>
              <w:jc w:val="center"/>
              <w:textAlignment w:val="center"/>
              <w:rPr>
                <w:rFonts w:hint="default"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中央专项（上级转移支付）</w:t>
            </w:r>
          </w:p>
        </w:tc>
      </w:tr>
    </w:tbl>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部门单位整体支出管理及使用情况：</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highlight w:val="none"/>
        </w:rPr>
      </w:pPr>
      <w:r>
        <w:rPr>
          <w:rStyle w:val="9"/>
          <w:rFonts w:hint="eastAsia" w:ascii="楷体" w:hAnsi="楷体" w:eastAsia="楷体" w:cs="Times New Roman"/>
          <w:b/>
          <w:bCs/>
          <w:color w:val="auto"/>
          <w:spacing w:val="-4"/>
          <w:sz w:val="32"/>
          <w:szCs w:val="32"/>
          <w:highlight w:val="none"/>
        </w:rPr>
        <w:t>（一）资金管理情况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财政审批程序合法，保证了项目资金的合理使用。对中央及自治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val="0"/>
          <w:bCs w:val="0"/>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（二）基本支出管理、支出情况、“三公”经费控制情况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1．基本支出管理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基本支出主要用于日常工作运转开支</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包括人员的工资福利支出、一般商品和服务支出、对个人和家庭的补助支出、对企事业单位的补贴及其他资本性支出。人员经费的开支主要是按照市财政统发工资表及文件的相关规定执行</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公用经费按照厉行节约的原则规范资金使用流程</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 xml:space="preserve"> 尤其是三公经费严格控制在预算指标内。接待费的报销必须附有接待公函、接待清单、接待明细</w:t>
      </w:r>
      <w:r>
        <w:rPr>
          <w:rFonts w:hint="eastAsia" w:ascii="仿宋_GB2312" w:hAnsi="方正楷体简体" w:eastAsia="仿宋_GB2312" w:cs="宋体"/>
          <w:color w:val="auto"/>
          <w:sz w:val="32"/>
          <w:szCs w:val="32"/>
          <w:highlight w:val="none"/>
          <w:lang w:eastAsia="zh-CN"/>
        </w:rPr>
        <w:t>，</w:t>
      </w:r>
      <w:r>
        <w:rPr>
          <w:rFonts w:hint="eastAsia" w:ascii="仿宋_GB2312" w:hAnsi="方正楷体简体" w:eastAsia="仿宋_GB2312" w:cs="宋体"/>
          <w:color w:val="auto"/>
          <w:sz w:val="32"/>
          <w:szCs w:val="32"/>
          <w:highlight w:val="none"/>
        </w:rPr>
        <w:t>车辆运行开支由办公室统一安排调配使用。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2．基本支出情况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w:t>
      </w:r>
      <w:r>
        <w:rPr>
          <w:rFonts w:hint="eastAsia" w:ascii="仿宋_GB2312" w:hAnsi="方正楷体简体" w:eastAsia="仿宋_GB2312" w:cs="宋体"/>
          <w:color w:val="auto"/>
          <w:sz w:val="32"/>
          <w:szCs w:val="32"/>
          <w:highlight w:val="none"/>
          <w:lang w:eastAsia="zh-CN"/>
        </w:rPr>
        <w:t>萨勒吾则克乡中心小学</w:t>
      </w:r>
      <w:r>
        <w:rPr>
          <w:rFonts w:hint="eastAsia" w:ascii="仿宋_GB2312" w:hAnsi="方正楷体简体" w:eastAsia="仿宋_GB2312" w:cs="宋体"/>
          <w:color w:val="auto"/>
          <w:sz w:val="32"/>
          <w:szCs w:val="32"/>
          <w:highlight w:val="none"/>
        </w:rPr>
        <w:t>基本支出预算总额</w:t>
      </w:r>
      <w:r>
        <w:rPr>
          <w:rFonts w:hint="eastAsia" w:ascii="仿宋_GB2312" w:hAnsi="方正楷体简体" w:eastAsia="仿宋_GB2312" w:cs="宋体"/>
          <w:color w:val="auto"/>
          <w:sz w:val="32"/>
          <w:szCs w:val="32"/>
          <w:highlight w:val="none"/>
          <w:lang w:val="en-US" w:eastAsia="zh-CN"/>
        </w:rPr>
        <w:t>1059.89</w:t>
      </w:r>
      <w:r>
        <w:rPr>
          <w:rFonts w:hint="eastAsia" w:ascii="仿宋_GB2312" w:hAnsi="方正楷体简体" w:eastAsia="仿宋_GB2312" w:cs="宋体"/>
          <w:color w:val="auto"/>
          <w:sz w:val="32"/>
          <w:szCs w:val="32"/>
          <w:highlight w:val="none"/>
        </w:rPr>
        <w:t>万元，其中人员经费</w:t>
      </w:r>
      <w:r>
        <w:rPr>
          <w:rFonts w:hint="eastAsia" w:ascii="仿宋_GB2312" w:hAnsi="方正楷体简体" w:eastAsia="仿宋_GB2312" w:cs="宋体"/>
          <w:color w:val="auto"/>
          <w:sz w:val="32"/>
          <w:szCs w:val="32"/>
          <w:highlight w:val="none"/>
          <w:lang w:val="en-US" w:eastAsia="zh-CN"/>
        </w:rPr>
        <w:t>1059.87</w:t>
      </w:r>
      <w:r>
        <w:rPr>
          <w:rFonts w:hint="eastAsia" w:ascii="仿宋_GB2312" w:hAnsi="方正楷体简体" w:eastAsia="仿宋_GB2312" w:cs="宋体"/>
          <w:color w:val="auto"/>
          <w:sz w:val="32"/>
          <w:szCs w:val="32"/>
          <w:highlight w:val="none"/>
        </w:rPr>
        <w:t>万元，公用经费</w:t>
      </w:r>
      <w:r>
        <w:rPr>
          <w:rFonts w:hint="eastAsia" w:ascii="仿宋_GB2312" w:hAnsi="方正楷体简体" w:eastAsia="仿宋_GB2312" w:cs="宋体"/>
          <w:color w:val="auto"/>
          <w:sz w:val="32"/>
          <w:szCs w:val="32"/>
          <w:highlight w:val="none"/>
          <w:lang w:val="en-US" w:eastAsia="zh-CN"/>
        </w:rPr>
        <w:t>0.21万元</w:t>
      </w:r>
      <w:r>
        <w:rPr>
          <w:rFonts w:hint="eastAsia" w:ascii="仿宋_GB2312" w:hAnsi="方正楷体简体" w:eastAsia="仿宋_GB2312" w:cs="宋体"/>
          <w:color w:val="auto"/>
          <w:sz w:val="32"/>
          <w:szCs w:val="32"/>
          <w:highlight w:val="none"/>
        </w:rPr>
        <w:t>。</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1054.07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99.45</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方正楷体简体" w:eastAsia="仿宋_GB2312" w:cs="宋体"/>
          <w:b/>
          <w:bCs/>
          <w:color w:val="auto"/>
          <w:sz w:val="32"/>
          <w:szCs w:val="32"/>
          <w:highlight w:val="none"/>
        </w:rPr>
      </w:pPr>
      <w:r>
        <w:rPr>
          <w:rFonts w:hint="eastAsia" w:ascii="仿宋_GB2312" w:hAnsi="方正楷体简体" w:eastAsia="仿宋_GB2312" w:cs="宋体"/>
          <w:b/>
          <w:bCs/>
          <w:color w:val="auto"/>
          <w:sz w:val="32"/>
          <w:szCs w:val="32"/>
          <w:highlight w:val="none"/>
        </w:rPr>
        <w:t>3．“三公”经费控制情况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rPr>
        <w:t>我单位认真贯彻落实中央关于厉行节约的有关规定，严格执行《党政机关厉行节约反对浪费条例》和《机关公务接待管理办法》，全年大幅度压缩了因公出国（境）及公务接待费用支出。</w:t>
      </w:r>
    </w:p>
    <w:p>
      <w:pPr>
        <w:keepNext w:val="0"/>
        <w:keepLines w:val="0"/>
        <w:pageBreakBefore w:val="0"/>
        <w:widowControl w:val="0"/>
        <w:kinsoku/>
        <w:wordWrap/>
        <w:overflowPunct/>
        <w:topLinePunct w:val="0"/>
        <w:autoSpaceDE/>
        <w:autoSpaceDN/>
        <w:bidi w:val="0"/>
        <w:adjustRightInd/>
        <w:snapToGrid/>
        <w:spacing w:line="560" w:lineRule="exact"/>
        <w:ind w:firstLine="625" w:firstLineChars="200"/>
        <w:textAlignment w:val="auto"/>
        <w:rPr>
          <w:rStyle w:val="9"/>
          <w:rFonts w:ascii="楷体" w:hAnsi="楷体" w:eastAsia="楷体" w:cs="Times New Roman"/>
          <w:b/>
          <w:bCs/>
          <w:color w:val="auto"/>
          <w:spacing w:val="-4"/>
          <w:sz w:val="32"/>
          <w:szCs w:val="32"/>
          <w:highlight w:val="none"/>
        </w:rPr>
      </w:pPr>
      <w:r>
        <w:rPr>
          <w:rStyle w:val="9"/>
          <w:rFonts w:hint="eastAsia" w:ascii="楷体" w:hAnsi="楷体" w:eastAsia="楷体" w:cs="Times New Roman"/>
          <w:b/>
          <w:bCs/>
          <w:color w:val="auto"/>
          <w:spacing w:val="-4"/>
          <w:sz w:val="32"/>
          <w:szCs w:val="32"/>
          <w:highlight w:val="none"/>
        </w:rPr>
        <w:t>（三）专项资金支出预算安排及支出情况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方正楷体简体" w:eastAsia="仿宋_GB2312" w:cs="宋体"/>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年专项支出预算总额</w:t>
      </w:r>
      <w:r>
        <w:rPr>
          <w:rFonts w:hint="eastAsia" w:ascii="仿宋_GB2312" w:hAnsi="方正楷体简体" w:eastAsia="仿宋_GB2312" w:cs="宋体"/>
          <w:color w:val="auto"/>
          <w:sz w:val="32"/>
          <w:szCs w:val="32"/>
          <w:highlight w:val="none"/>
          <w:lang w:val="en-US" w:eastAsia="zh-CN"/>
        </w:rPr>
        <w:t>15.56</w:t>
      </w:r>
      <w:r>
        <w:rPr>
          <w:rFonts w:hint="eastAsia" w:ascii="仿宋_GB2312" w:hAnsi="方正楷体简体" w:eastAsia="仿宋_GB2312" w:cs="宋体"/>
          <w:color w:val="auto"/>
          <w:sz w:val="32"/>
          <w:szCs w:val="32"/>
          <w:highlight w:val="none"/>
        </w:rPr>
        <w:t>万元，</w:t>
      </w:r>
      <w:r>
        <w:rPr>
          <w:rFonts w:hint="eastAsia" w:ascii="仿宋_GB2312" w:hAnsi="方正楷体简体" w:eastAsia="仿宋_GB2312" w:cs="宋体"/>
          <w:color w:val="auto"/>
          <w:sz w:val="32"/>
          <w:szCs w:val="32"/>
          <w:highlight w:val="none"/>
          <w:lang w:eastAsia="zh-CN"/>
        </w:rPr>
        <w:t>执行数</w:t>
      </w:r>
      <w:r>
        <w:rPr>
          <w:rFonts w:hint="eastAsia" w:ascii="仿宋_GB2312" w:hAnsi="方正楷体简体" w:eastAsia="仿宋_GB2312" w:cs="宋体"/>
          <w:color w:val="auto"/>
          <w:sz w:val="32"/>
          <w:szCs w:val="32"/>
          <w:highlight w:val="none"/>
          <w:lang w:val="en-US" w:eastAsia="zh-CN"/>
        </w:rPr>
        <w:t>13.07</w:t>
      </w:r>
      <w:r>
        <w:rPr>
          <w:rFonts w:hint="eastAsia" w:ascii="仿宋_GB2312" w:hAnsi="方正楷体简体" w:eastAsia="仿宋_GB2312" w:cs="宋体"/>
          <w:color w:val="auto"/>
          <w:sz w:val="32"/>
          <w:szCs w:val="32"/>
          <w:highlight w:val="none"/>
        </w:rPr>
        <w:t>万元，预算执行率</w:t>
      </w:r>
      <w:r>
        <w:rPr>
          <w:rFonts w:hint="eastAsia" w:ascii="仿宋_GB2312" w:hAnsi="方正楷体简体" w:eastAsia="仿宋_GB2312" w:cs="宋体"/>
          <w:color w:val="auto"/>
          <w:sz w:val="32"/>
          <w:szCs w:val="32"/>
          <w:highlight w:val="none"/>
          <w:lang w:val="en-US" w:eastAsia="zh-CN"/>
        </w:rPr>
        <w:t>84</w:t>
      </w:r>
      <w:r>
        <w:rPr>
          <w:rFonts w:hint="eastAsia" w:ascii="仿宋_GB2312" w:hAnsi="方正楷体简体" w:eastAsia="仿宋_GB2312" w:cs="宋体"/>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Times New Roman"/>
          <w:bCs/>
          <w:color w:val="auto"/>
          <w:sz w:val="32"/>
          <w:szCs w:val="32"/>
          <w:highlight w:val="none"/>
        </w:rPr>
      </w:pP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年共有</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个专项资金项目，其中已完成项目</w:t>
      </w:r>
      <w:r>
        <w:rPr>
          <w:rFonts w:hint="eastAsia" w:ascii="仿宋_GB2312" w:hAnsi="方正楷体简体" w:eastAsia="仿宋_GB2312" w:cs="宋体"/>
          <w:color w:val="auto"/>
          <w:sz w:val="32"/>
          <w:szCs w:val="32"/>
          <w:highlight w:val="none"/>
          <w:lang w:val="en-US" w:eastAsia="zh-CN"/>
        </w:rPr>
        <w:t>2</w:t>
      </w:r>
      <w:r>
        <w:rPr>
          <w:rFonts w:hint="eastAsia" w:ascii="仿宋_GB2312" w:hAnsi="方正楷体简体" w:eastAsia="仿宋_GB2312" w:cs="宋体"/>
          <w:color w:val="auto"/>
          <w:sz w:val="32"/>
          <w:szCs w:val="32"/>
          <w:highlight w:val="none"/>
        </w:rPr>
        <w:t>个、未完成项目</w:t>
      </w:r>
      <w:r>
        <w:rPr>
          <w:rFonts w:hint="eastAsia" w:ascii="仿宋_GB2312" w:hAnsi="方正楷体简体" w:eastAsia="仿宋_GB2312" w:cs="宋体"/>
          <w:color w:val="auto"/>
          <w:sz w:val="32"/>
          <w:szCs w:val="32"/>
          <w:highlight w:val="none"/>
          <w:lang w:val="en-US" w:eastAsia="zh-CN"/>
        </w:rPr>
        <w:t>1</w:t>
      </w:r>
      <w:r>
        <w:rPr>
          <w:rFonts w:hint="eastAsia" w:ascii="仿宋_GB2312" w:hAnsi="方正楷体简体" w:eastAsia="仿宋_GB2312" w:cs="宋体"/>
          <w:color w:val="auto"/>
          <w:sz w:val="32"/>
          <w:szCs w:val="32"/>
          <w:highlight w:val="none"/>
        </w:rPr>
        <w:t>个。</w:t>
      </w:r>
      <w:r>
        <w:rPr>
          <w:rFonts w:hint="eastAsia" w:ascii="仿宋_GB2312" w:hAnsi="方正楷体简体" w:eastAsia="仿宋_GB2312" w:cs="宋体"/>
          <w:color w:val="auto"/>
          <w:sz w:val="32"/>
          <w:szCs w:val="32"/>
          <w:highlight w:val="none"/>
          <w:lang w:eastAsia="zh-CN"/>
        </w:rPr>
        <w:t>202</w:t>
      </w:r>
      <w:r>
        <w:rPr>
          <w:rFonts w:hint="eastAsia" w:ascii="仿宋_GB2312" w:hAnsi="方正楷体简体" w:eastAsia="仿宋_GB2312" w:cs="宋体"/>
          <w:color w:val="auto"/>
          <w:sz w:val="32"/>
          <w:szCs w:val="32"/>
          <w:highlight w:val="none"/>
          <w:lang w:val="en-US" w:eastAsia="zh-CN"/>
        </w:rPr>
        <w:t>3</w:t>
      </w:r>
      <w:r>
        <w:rPr>
          <w:rFonts w:hint="eastAsia" w:ascii="仿宋_GB2312" w:hAnsi="方正楷体简体" w:eastAsia="仿宋_GB2312" w:cs="宋体"/>
          <w:color w:val="auto"/>
          <w:sz w:val="32"/>
          <w:szCs w:val="32"/>
          <w:highlight w:val="none"/>
        </w:rPr>
        <w:t>年度项目预算及执行情况见下表：</w:t>
      </w:r>
    </w:p>
    <w:tbl>
      <w:tblPr>
        <w:tblStyle w:val="6"/>
        <w:tblW w:w="9997" w:type="dxa"/>
        <w:tblInd w:w="-319" w:type="dxa"/>
        <w:tblLayout w:type="fixed"/>
        <w:tblCellMar>
          <w:top w:w="0" w:type="dxa"/>
          <w:left w:w="108" w:type="dxa"/>
          <w:bottom w:w="0" w:type="dxa"/>
          <w:right w:w="108" w:type="dxa"/>
        </w:tblCellMar>
      </w:tblPr>
      <w:tblGrid>
        <w:gridCol w:w="3213"/>
        <w:gridCol w:w="1664"/>
        <w:gridCol w:w="2073"/>
        <w:gridCol w:w="1527"/>
        <w:gridCol w:w="1520"/>
      </w:tblGrid>
      <w:tr>
        <w:trPr>
          <w:trHeight w:val="1062" w:hRule="atLeast"/>
          <w:tblHeader/>
        </w:trPr>
        <w:tc>
          <w:tcPr>
            <w:tcW w:w="3213" w:type="dxa"/>
            <w:tcBorders>
              <w:top w:val="single" w:color="auto" w:sz="8" w:space="0"/>
              <w:left w:val="single" w:color="auto" w:sz="8" w:space="0"/>
              <w:bottom w:val="single" w:color="auto" w:sz="8" w:space="0"/>
              <w:right w:val="single" w:color="auto" w:sz="8" w:space="0"/>
            </w:tcBorders>
            <w:shd w:val="clear" w:color="auto" w:fill="auto"/>
            <w:vAlign w:val="center"/>
          </w:tcPr>
          <w:p>
            <w:pPr>
              <w:spacing w:line="560" w:lineRule="exact"/>
              <w:ind w:firstLine="200"/>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项目名称</w:t>
            </w:r>
          </w:p>
        </w:tc>
        <w:tc>
          <w:tcPr>
            <w:tcW w:w="1664" w:type="dxa"/>
            <w:tcBorders>
              <w:top w:val="single" w:color="auto" w:sz="8" w:space="0"/>
              <w:left w:val="nil"/>
              <w:bottom w:val="single" w:color="auto" w:sz="8" w:space="0"/>
              <w:right w:val="single" w:color="auto" w:sz="8" w:space="0"/>
            </w:tcBorders>
            <w:shd w:val="clear" w:color="auto" w:fill="auto"/>
            <w:vAlign w:val="center"/>
          </w:tcPr>
          <w:p>
            <w:pPr>
              <w:spacing w:line="240" w:lineRule="auto"/>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预算金额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2073"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lang w:eastAsia="zh-CN"/>
              </w:rPr>
              <w:t>项目属性</w:t>
            </w:r>
          </w:p>
        </w:tc>
        <w:tc>
          <w:tcPr>
            <w:tcW w:w="1527"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lang w:eastAsia="zh-CN"/>
              </w:rPr>
            </w:pPr>
            <w:r>
              <w:rPr>
                <w:rFonts w:hint="eastAsia" w:ascii="仿宋_GB2312" w:hAnsi="仿宋" w:eastAsia="仿宋_GB2312" w:cs="宋体"/>
                <w:b/>
                <w:bCs/>
                <w:color w:val="auto"/>
                <w:kern w:val="0"/>
                <w:sz w:val="24"/>
                <w:highlight w:val="none"/>
              </w:rPr>
              <w:t>执行金额</w:t>
            </w:r>
            <w:r>
              <w:rPr>
                <w:rFonts w:hint="eastAsia" w:ascii="仿宋_GB2312" w:hAnsi="仿宋" w:eastAsia="仿宋_GB2312" w:cs="宋体"/>
                <w:b/>
                <w:bCs/>
                <w:color w:val="auto"/>
                <w:kern w:val="0"/>
                <w:sz w:val="24"/>
                <w:highlight w:val="none"/>
                <w:lang w:eastAsia="zh-CN"/>
              </w:rPr>
              <w:t>（</w:t>
            </w:r>
            <w:r>
              <w:rPr>
                <w:rFonts w:hint="eastAsia" w:ascii="仿宋_GB2312" w:hAnsi="仿宋" w:eastAsia="仿宋_GB2312" w:cs="宋体"/>
                <w:b/>
                <w:bCs/>
                <w:color w:val="auto"/>
                <w:kern w:val="0"/>
                <w:sz w:val="24"/>
                <w:highlight w:val="none"/>
                <w:lang w:val="en-US" w:eastAsia="zh-CN"/>
              </w:rPr>
              <w:t>万元</w:t>
            </w:r>
            <w:r>
              <w:rPr>
                <w:rFonts w:hint="eastAsia" w:ascii="仿宋_GB2312" w:hAnsi="仿宋" w:eastAsia="仿宋_GB2312" w:cs="宋体"/>
                <w:b/>
                <w:bCs/>
                <w:color w:val="auto"/>
                <w:kern w:val="0"/>
                <w:sz w:val="24"/>
                <w:highlight w:val="none"/>
                <w:lang w:eastAsia="zh-CN"/>
              </w:rPr>
              <w:t>）</w:t>
            </w:r>
          </w:p>
        </w:tc>
        <w:tc>
          <w:tcPr>
            <w:tcW w:w="1520" w:type="dxa"/>
            <w:tcBorders>
              <w:top w:val="single" w:color="auto" w:sz="8" w:space="0"/>
              <w:left w:val="nil"/>
              <w:bottom w:val="single" w:color="auto" w:sz="8" w:space="0"/>
              <w:right w:val="single" w:color="auto" w:sz="8" w:space="0"/>
            </w:tcBorders>
            <w:shd w:val="clear" w:color="auto" w:fill="auto"/>
            <w:vAlign w:val="center"/>
          </w:tcPr>
          <w:p>
            <w:pPr>
              <w:spacing w:line="560" w:lineRule="exact"/>
              <w:jc w:val="center"/>
              <w:rPr>
                <w:rFonts w:hint="eastAsia" w:ascii="仿宋_GB2312" w:hAnsi="仿宋" w:eastAsia="仿宋_GB2312" w:cs="宋体"/>
                <w:b/>
                <w:bCs/>
                <w:color w:val="auto"/>
                <w:kern w:val="0"/>
                <w:sz w:val="24"/>
                <w:highlight w:val="none"/>
              </w:rPr>
            </w:pPr>
            <w:r>
              <w:rPr>
                <w:rFonts w:hint="eastAsia" w:ascii="仿宋_GB2312" w:hAnsi="仿宋" w:eastAsia="仿宋_GB2312" w:cs="宋体"/>
                <w:b/>
                <w:bCs/>
                <w:color w:val="auto"/>
                <w:kern w:val="0"/>
                <w:sz w:val="24"/>
                <w:highlight w:val="none"/>
              </w:rPr>
              <w:t>执行率</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仿宋_GB2312" w:hAnsi="仿宋" w:eastAsia="仿宋_GB2312" w:cs="宋体"/>
                <w:color w:val="auto"/>
                <w:kern w:val="0"/>
                <w:sz w:val="32"/>
                <w:szCs w:val="32"/>
                <w:highlight w:val="none"/>
              </w:rPr>
            </w:pPr>
            <w:r>
              <w:rPr>
                <w:rFonts w:hint="default" w:ascii="Calibri" w:hAnsi="Calibri" w:eastAsia="宋体" w:cs="Calibri"/>
                <w:i w:val="0"/>
                <w:color w:val="000000"/>
                <w:kern w:val="0"/>
                <w:sz w:val="24"/>
                <w:szCs w:val="24"/>
                <w:u w:val="none"/>
                <w:lang w:val="en-US" w:eastAsia="zh-CN" w:bidi="ar"/>
              </w:rPr>
              <w:t>2022年教育直达资金（第二批营养膳食补助）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default" w:ascii="Calibri" w:hAnsi="Calibri" w:eastAsia="宋体" w:cs="Calibri"/>
                <w:i w:val="0"/>
                <w:color w:val="000000"/>
                <w:kern w:val="0"/>
                <w:sz w:val="24"/>
                <w:szCs w:val="24"/>
                <w:u w:val="none"/>
                <w:lang w:val="en-US" w:eastAsia="zh-CN" w:bidi="ar"/>
              </w:rPr>
              <w:t>11.03</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仿宋_GB2312" w:hAnsi="仿宋" w:eastAsia="仿宋_GB2312" w:cs="宋体"/>
                <w:color w:val="auto"/>
                <w:kern w:val="0"/>
                <w:sz w:val="24"/>
                <w:szCs w:val="24"/>
                <w:highlight w:val="none"/>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仿宋_GB2312" w:hAnsi="仿宋" w:eastAsia="仿宋_GB2312" w:cs="宋体"/>
                <w:color w:val="auto"/>
                <w:kern w:val="0"/>
                <w:sz w:val="32"/>
                <w:szCs w:val="32"/>
                <w:highlight w:val="none"/>
                <w:lang w:val="en-US"/>
              </w:rPr>
            </w:pPr>
            <w:r>
              <w:rPr>
                <w:rFonts w:hint="eastAsia" w:ascii="Calibri" w:hAnsi="Calibri" w:cs="Calibri"/>
                <w:i w:val="0"/>
                <w:color w:val="000000"/>
                <w:kern w:val="0"/>
                <w:sz w:val="24"/>
                <w:szCs w:val="24"/>
                <w:u w:val="none"/>
                <w:lang w:val="en-US" w:eastAsia="zh-CN" w:bidi="ar"/>
              </w:rPr>
              <w:t>11.03</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2022年城乡义务教育项目直达资金的通知（农村学生营养膳食补助）</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宋体" w:hAnsi="宋体" w:cs="宋体"/>
                <w:i w:val="0"/>
                <w:color w:val="auto"/>
                <w:kern w:val="0"/>
                <w:sz w:val="22"/>
                <w:szCs w:val="22"/>
                <w:highlight w:val="none"/>
                <w:u w:val="none"/>
                <w:lang w:val="en-US" w:eastAsia="zh-CN" w:bidi="ar"/>
              </w:rPr>
            </w:pPr>
            <w:r>
              <w:rPr>
                <w:rFonts w:hint="default" w:ascii="Calibri" w:hAnsi="Calibri" w:eastAsia="宋体" w:cs="Calibri"/>
                <w:i w:val="0"/>
                <w:color w:val="000000"/>
                <w:kern w:val="0"/>
                <w:sz w:val="24"/>
                <w:szCs w:val="24"/>
                <w:u w:val="none"/>
                <w:lang w:val="en-US" w:eastAsia="zh-CN" w:bidi="ar"/>
              </w:rPr>
              <w:t>2.49</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left"/>
              <w:textAlignment w:val="center"/>
              <w:rPr>
                <w:rFonts w:hint="eastAsia" w:ascii="宋体" w:hAnsi="宋体" w:cs="宋体"/>
                <w:i w:val="0"/>
                <w:color w:val="auto"/>
                <w:kern w:val="0"/>
                <w:sz w:val="22"/>
                <w:szCs w:val="22"/>
                <w:highlight w:val="none"/>
                <w:u w:val="none"/>
                <w:lang w:val="en-US" w:eastAsia="zh-CN" w:bidi="ar"/>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宋体" w:hAnsi="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0</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jc w:val="left"/>
              <w:textAlignment w:val="bottom"/>
              <w:rPr>
                <w:rFonts w:hint="default" w:ascii="Calibri" w:hAnsi="Calibri" w:eastAsia="宋体"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2022</w:t>
            </w:r>
            <w:r>
              <w:rPr>
                <w:rFonts w:hint="eastAsia" w:ascii="宋体" w:hAnsi="宋体" w:eastAsia="宋体" w:cs="宋体"/>
                <w:i w:val="0"/>
                <w:color w:val="000000"/>
                <w:kern w:val="0"/>
                <w:sz w:val="24"/>
                <w:szCs w:val="24"/>
                <w:u w:val="none"/>
                <w:lang w:val="en-US" w:eastAsia="zh-CN" w:bidi="ar"/>
              </w:rPr>
              <w:t>年乡村学校少年宫经费</w:t>
            </w:r>
          </w:p>
        </w:tc>
        <w:tc>
          <w:tcPr>
            <w:tcW w:w="1664"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eastAsia" w:ascii="Calibri" w:hAnsi="Calibri" w:cs="Calibri"/>
                <w:i w:val="0"/>
                <w:color w:val="000000"/>
                <w:kern w:val="0"/>
                <w:sz w:val="24"/>
                <w:szCs w:val="24"/>
                <w:u w:val="none"/>
                <w:lang w:val="en-US" w:eastAsia="zh-CN" w:bidi="ar"/>
              </w:rPr>
            </w:pPr>
            <w:r>
              <w:rPr>
                <w:rFonts w:hint="default" w:ascii="Calibri" w:hAnsi="Calibri" w:eastAsia="宋体" w:cs="Calibri"/>
                <w:i w:val="0"/>
                <w:color w:val="000000"/>
                <w:kern w:val="0"/>
                <w:sz w:val="24"/>
                <w:szCs w:val="24"/>
                <w:u w:val="none"/>
                <w:lang w:val="en-US" w:eastAsia="zh-CN" w:bidi="ar"/>
              </w:rPr>
              <w:t>2.04</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仿宋_GB2312" w:hAnsi="仿宋" w:eastAsia="仿宋_GB2312" w:cs="宋体"/>
                <w:color w:val="auto"/>
                <w:sz w:val="22"/>
                <w:szCs w:val="22"/>
                <w:highlight w:val="none"/>
                <w:lang w:val="en-US" w:eastAsia="zh-CN"/>
              </w:rPr>
            </w:pPr>
            <w:r>
              <w:rPr>
                <w:rFonts w:hint="eastAsia" w:ascii="仿宋_GB2312" w:hAnsi="仿宋" w:eastAsia="仿宋_GB2312" w:cs="宋体"/>
                <w:color w:val="auto"/>
                <w:sz w:val="22"/>
                <w:szCs w:val="22"/>
                <w:highlight w:val="none"/>
                <w:lang w:val="en-US" w:eastAsia="zh-CN"/>
              </w:rPr>
              <w:t>中央专项（上级转移支付）</w:t>
            </w:r>
          </w:p>
        </w:tc>
        <w:tc>
          <w:tcPr>
            <w:tcW w:w="1527" w:type="dxa"/>
            <w:tcBorders>
              <w:top w:val="nil"/>
              <w:left w:val="nil"/>
              <w:bottom w:val="single" w:color="auto" w:sz="8" w:space="0"/>
              <w:right w:val="single" w:color="auto" w:sz="8" w:space="0"/>
            </w:tcBorders>
            <w:shd w:val="clear" w:color="auto" w:fill="auto"/>
            <w:vAlign w:val="bottom"/>
          </w:tcPr>
          <w:p>
            <w:pPr>
              <w:keepNext w:val="0"/>
              <w:keepLines w:val="0"/>
              <w:widowControl/>
              <w:suppressLineNumbers w:val="0"/>
              <w:jc w:val="right"/>
              <w:textAlignment w:val="bottom"/>
              <w:rPr>
                <w:rFonts w:hint="default" w:ascii="Calibri" w:hAnsi="Calibri" w:cs="Calibri"/>
                <w:i w:val="0"/>
                <w:color w:val="000000"/>
                <w:kern w:val="0"/>
                <w:sz w:val="24"/>
                <w:szCs w:val="24"/>
                <w:u w:val="none"/>
                <w:lang w:val="en-US" w:eastAsia="zh-CN" w:bidi="ar"/>
              </w:rPr>
            </w:pPr>
            <w:r>
              <w:rPr>
                <w:rFonts w:hint="eastAsia" w:ascii="Calibri" w:hAnsi="Calibri" w:cs="Calibri"/>
                <w:i w:val="0"/>
                <w:color w:val="000000"/>
                <w:kern w:val="0"/>
                <w:sz w:val="24"/>
                <w:szCs w:val="24"/>
                <w:u w:val="none"/>
                <w:lang w:val="en-US" w:eastAsia="zh-CN" w:bidi="ar"/>
              </w:rPr>
              <w:t>2.04</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default" w:ascii="仿宋_GB2312" w:hAnsi="仿宋" w:eastAsia="仿宋_GB2312" w:cs="宋体"/>
                <w:color w:val="auto"/>
                <w:kern w:val="0"/>
                <w:sz w:val="22"/>
                <w:szCs w:val="22"/>
                <w:highlight w:val="none"/>
                <w:lang w:val="en-US" w:eastAsia="zh-CN"/>
              </w:rPr>
            </w:pPr>
            <w:r>
              <w:rPr>
                <w:rFonts w:hint="eastAsia" w:ascii="仿宋_GB2312" w:hAnsi="仿宋" w:eastAsia="仿宋_GB2312" w:cs="宋体"/>
                <w:color w:val="auto"/>
                <w:kern w:val="0"/>
                <w:sz w:val="22"/>
                <w:szCs w:val="22"/>
                <w:highlight w:val="none"/>
                <w:lang w:val="en-US" w:eastAsia="zh-CN"/>
              </w:rPr>
              <w:t>100%</w:t>
            </w:r>
          </w:p>
        </w:tc>
      </w:tr>
      <w:tr>
        <w:trPr>
          <w:trHeight w:val="283" w:hRule="atLeast"/>
          <w:tblHeader/>
        </w:trPr>
        <w:tc>
          <w:tcPr>
            <w:tcW w:w="3213" w:type="dxa"/>
            <w:tcBorders>
              <w:top w:val="nil"/>
              <w:left w:val="single" w:color="auto" w:sz="8" w:space="0"/>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b/>
                <w:bCs/>
                <w:color w:val="auto"/>
                <w:kern w:val="0"/>
                <w:sz w:val="32"/>
                <w:szCs w:val="32"/>
                <w:highlight w:val="none"/>
              </w:rPr>
            </w:pPr>
            <w:r>
              <w:rPr>
                <w:rFonts w:hint="eastAsia" w:ascii="宋体" w:hAnsi="宋体" w:eastAsia="宋体" w:cs="宋体"/>
                <w:i w:val="0"/>
                <w:color w:val="auto"/>
                <w:kern w:val="0"/>
                <w:sz w:val="22"/>
                <w:szCs w:val="22"/>
                <w:highlight w:val="none"/>
                <w:u w:val="none"/>
                <w:lang w:val="en-US" w:eastAsia="zh-CN" w:bidi="ar"/>
              </w:rPr>
              <w:t>合计</w:t>
            </w:r>
          </w:p>
        </w:tc>
        <w:tc>
          <w:tcPr>
            <w:tcW w:w="166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15.56</w:t>
            </w:r>
          </w:p>
        </w:tc>
        <w:tc>
          <w:tcPr>
            <w:tcW w:w="207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kern w:val="0"/>
                <w:sz w:val="22"/>
                <w:szCs w:val="22"/>
                <w:highlight w:val="none"/>
                <w:u w:val="none"/>
                <w:lang w:val="en-US" w:eastAsia="zh-CN" w:bidi="ar"/>
              </w:rPr>
            </w:pPr>
          </w:p>
        </w:tc>
        <w:tc>
          <w:tcPr>
            <w:tcW w:w="152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cs="宋体"/>
                <w:i w:val="0"/>
                <w:color w:val="auto"/>
                <w:kern w:val="0"/>
                <w:sz w:val="22"/>
                <w:szCs w:val="22"/>
                <w:highlight w:val="none"/>
                <w:u w:val="none"/>
                <w:lang w:val="en-US" w:eastAsia="zh-CN" w:bidi="ar"/>
              </w:rPr>
              <w:t>13.07</w:t>
            </w:r>
          </w:p>
        </w:tc>
        <w:tc>
          <w:tcPr>
            <w:tcW w:w="1520" w:type="dxa"/>
            <w:tcBorders>
              <w:top w:val="nil"/>
              <w:left w:val="nil"/>
              <w:bottom w:val="single" w:color="auto" w:sz="8" w:space="0"/>
              <w:right w:val="single" w:color="auto" w:sz="8" w:space="0"/>
            </w:tcBorders>
            <w:shd w:val="clear" w:color="auto" w:fill="auto"/>
            <w:vAlign w:val="center"/>
          </w:tcPr>
          <w:p>
            <w:pPr>
              <w:spacing w:line="560" w:lineRule="exact"/>
              <w:ind w:firstLine="200"/>
              <w:rPr>
                <w:rFonts w:hint="eastAsia" w:ascii="仿宋_GB2312" w:hAnsi="仿宋" w:eastAsia="仿宋_GB2312" w:cs="宋体"/>
                <w:color w:val="auto"/>
                <w:kern w:val="0"/>
                <w:sz w:val="32"/>
                <w:szCs w:val="32"/>
                <w:highlight w:val="none"/>
              </w:rPr>
            </w:pPr>
            <w:r>
              <w:rPr>
                <w:rFonts w:hint="eastAsia" w:ascii="仿宋_GB2312" w:hAnsi="仿宋" w:eastAsia="仿宋_GB2312" w:cs="宋体"/>
                <w:color w:val="auto"/>
                <w:kern w:val="0"/>
                <w:sz w:val="22"/>
                <w:szCs w:val="22"/>
                <w:highlight w:val="none"/>
                <w:lang w:val="en-US" w:eastAsia="zh-CN"/>
              </w:rPr>
              <w:t>84%</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方正楷体简体" w:eastAsia="仿宋_GB2312" w:cs="宋体"/>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（1）</w:t>
      </w:r>
      <w:r>
        <w:rPr>
          <w:rFonts w:hint="default" w:ascii="仿宋_GB2312" w:hAnsi="方正楷体简体" w:eastAsia="仿宋_GB2312" w:cs="宋体"/>
          <w:color w:val="auto"/>
          <w:sz w:val="32"/>
          <w:szCs w:val="32"/>
          <w:highlight w:val="none"/>
          <w:lang w:val="en-US" w:eastAsia="zh-CN"/>
        </w:rPr>
        <w:t>2022年城乡义务教育项目直达资金的通知（农村学生营养膳食补助）</w:t>
      </w:r>
      <w:r>
        <w:rPr>
          <w:rFonts w:hint="eastAsia" w:ascii="仿宋_GB2312" w:hAnsi="方正楷体简体" w:eastAsia="仿宋_GB2312" w:cs="宋体"/>
          <w:color w:val="auto"/>
          <w:sz w:val="32"/>
          <w:szCs w:val="32"/>
          <w:highlight w:val="none"/>
          <w:lang w:val="en-US" w:eastAsia="zh-CN"/>
        </w:rPr>
        <w:t>：由于特殊情况学生居家隔离，所以学校不提供伙食补助，导致资金未执行；</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部门单位整体支出绩效分析：</w:t>
      </w:r>
    </w:p>
    <w:p>
      <w:pPr>
        <w:spacing w:line="540" w:lineRule="exact"/>
        <w:ind w:firstLine="579" w:firstLineChars="181"/>
        <w:rPr>
          <w:rStyle w:val="9"/>
          <w:rFonts w:hint="eastAsia" w:ascii="楷体" w:hAnsi="楷体" w:eastAsia="楷体" w:cs="楷体"/>
          <w:b/>
          <w:bCs w:val="0"/>
          <w:color w:val="auto"/>
          <w:spacing w:val="-4"/>
          <w:sz w:val="32"/>
          <w:szCs w:val="32"/>
          <w:highlight w:val="none"/>
          <w:lang w:val="en-US" w:eastAsia="zh-CN"/>
        </w:rPr>
      </w:pPr>
      <w:r>
        <w:rPr>
          <w:rFonts w:hint="eastAsia" w:ascii="黑体" w:hAnsi="黑体" w:eastAsia="黑体" w:cs="宋体"/>
          <w:bCs/>
          <w:color w:val="auto"/>
          <w:sz w:val="32"/>
          <w:szCs w:val="32"/>
          <w:highlight w:val="none"/>
          <w:lang w:bidi="ar"/>
        </w:rPr>
        <w:t xml:space="preserve"> </w:t>
      </w:r>
      <w:r>
        <w:rPr>
          <w:rStyle w:val="9"/>
          <w:rFonts w:hint="eastAsia" w:ascii="楷体" w:hAnsi="楷体" w:eastAsia="楷体" w:cs="楷体"/>
          <w:b/>
          <w:bCs w:val="0"/>
          <w:color w:val="auto"/>
          <w:spacing w:val="-4"/>
          <w:sz w:val="32"/>
          <w:szCs w:val="32"/>
          <w:highlight w:val="none"/>
          <w:lang w:val="en-US" w:eastAsia="zh-CN"/>
        </w:rPr>
        <w:t>（一）指标一：享受资助补助政策学生数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方正楷体简体" w:eastAsia="仿宋_GB2312" w:cs="宋体"/>
          <w:color w:val="auto"/>
          <w:sz w:val="32"/>
          <w:szCs w:val="32"/>
          <w:highlight w:val="none"/>
          <w:lang w:val="en-US" w:eastAsia="zh-CN"/>
        </w:rPr>
        <w:t>享受资助补助政策学生数，预期指标是大于等于316人，年中绩效运行监控完成值是316人，本次评价实际完成值是316人，达到预期目标。</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（二）指标二：补助发放覆盖率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补助发放覆盖率，预期指标是</w:t>
      </w:r>
      <w:r>
        <w:rPr>
          <w:rFonts w:hint="eastAsia" w:ascii="仿宋_GB2312" w:hAnsi="仿宋" w:eastAsia="仿宋_GB2312"/>
          <w:color w:val="auto"/>
          <w:sz w:val="32"/>
          <w:szCs w:val="32"/>
          <w:highlight w:val="none"/>
          <w:lang w:val="en-US" w:eastAsia="zh-CN"/>
        </w:rPr>
        <w:t>大于等于90%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Style w:val="9"/>
          <w:rFonts w:hint="eastAsia" w:ascii="仿宋_GB2312" w:hAnsi="楷体" w:eastAsia="仿宋_GB2312" w:cs="Times New Roman"/>
          <w:b w:val="0"/>
          <w:color w:val="auto"/>
          <w:spacing w:val="-4"/>
          <w:sz w:val="32"/>
          <w:szCs w:val="32"/>
          <w:highlight w:val="none"/>
          <w:lang w:val="en-US" w:eastAsia="zh-CN"/>
        </w:rPr>
        <w:t>90%</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本次评价实际完成值是90%，</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（三）指标三：入学率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入学率，预期指标是</w:t>
      </w:r>
      <w:r>
        <w:rPr>
          <w:rFonts w:hint="eastAsia" w:ascii="仿宋_GB2312" w:hAnsi="仿宋" w:eastAsia="仿宋_GB2312"/>
          <w:color w:val="auto"/>
          <w:sz w:val="32"/>
          <w:szCs w:val="32"/>
          <w:highlight w:val="none"/>
          <w:lang w:val="en-US" w:eastAsia="zh-CN"/>
        </w:rPr>
        <w:t>大于等于97%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w:t>
      </w:r>
      <w:r>
        <w:rPr>
          <w:rStyle w:val="9"/>
          <w:rFonts w:hint="eastAsia" w:ascii="仿宋_GB2312" w:hAnsi="楷体" w:eastAsia="仿宋_GB2312" w:cs="Times New Roman"/>
          <w:b w:val="0"/>
          <w:color w:val="auto"/>
          <w:spacing w:val="-4"/>
          <w:sz w:val="32"/>
          <w:szCs w:val="32"/>
          <w:highlight w:val="none"/>
          <w:lang w:val="en-US" w:eastAsia="zh-CN"/>
        </w:rPr>
        <w:t>7%</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本次评价实际完成值是97%，</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（四）指标四：受益学生满意率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spacing w:line="540" w:lineRule="exact"/>
        <w:ind w:firstLine="565" w:firstLineChars="181"/>
        <w:rPr>
          <w:rStyle w:val="9"/>
          <w:rFonts w:hint="eastAsia" w:ascii="楷体" w:hAnsi="楷体" w:eastAsia="楷体" w:cs="楷体"/>
          <w:b/>
          <w:bCs w:val="0"/>
          <w:color w:val="auto"/>
          <w:spacing w:val="-4"/>
          <w:sz w:val="32"/>
          <w:szCs w:val="32"/>
          <w:highlight w:val="none"/>
          <w:lang w:val="en-US" w:eastAsia="zh-CN"/>
        </w:rPr>
      </w:pPr>
      <w:r>
        <w:rPr>
          <w:rStyle w:val="9"/>
          <w:rFonts w:hint="eastAsia" w:ascii="楷体" w:hAnsi="楷体" w:eastAsia="楷体" w:cs="楷体"/>
          <w:b/>
          <w:bCs w:val="0"/>
          <w:color w:val="auto"/>
          <w:spacing w:val="-4"/>
          <w:sz w:val="32"/>
          <w:szCs w:val="32"/>
          <w:highlight w:val="none"/>
          <w:lang w:val="en-US" w:eastAsia="zh-CN"/>
        </w:rPr>
        <w:t>（五）指标五：受益学生家长满意率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rPr>
        <w:t>受益学生家长满意率，预期指标是</w:t>
      </w:r>
      <w:r>
        <w:rPr>
          <w:rFonts w:hint="eastAsia" w:ascii="仿宋_GB2312" w:hAnsi="仿宋" w:eastAsia="仿宋_GB2312"/>
          <w:color w:val="auto"/>
          <w:sz w:val="32"/>
          <w:szCs w:val="32"/>
          <w:highlight w:val="none"/>
          <w:lang w:val="en-US" w:eastAsia="zh-CN"/>
        </w:rPr>
        <w:t>大于等于95%</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年中绩效运行监控</w:t>
      </w:r>
      <w:r>
        <w:rPr>
          <w:rFonts w:hint="eastAsia" w:ascii="仿宋_GB2312" w:hAnsi="仿宋" w:eastAsia="仿宋_GB2312"/>
          <w:color w:val="auto"/>
          <w:sz w:val="32"/>
          <w:szCs w:val="32"/>
          <w:highlight w:val="none"/>
        </w:rPr>
        <w:t>完成值是</w:t>
      </w:r>
      <w:r>
        <w:rPr>
          <w:rFonts w:hint="eastAsia" w:ascii="仿宋_GB2312" w:hAnsi="仿宋" w:eastAsia="仿宋_GB2312"/>
          <w:color w:val="auto"/>
          <w:sz w:val="32"/>
          <w:szCs w:val="32"/>
          <w:highlight w:val="none"/>
          <w:lang w:val="en-US" w:eastAsia="zh-CN"/>
        </w:rPr>
        <w:t>95</w:t>
      </w:r>
      <w:r>
        <w:rPr>
          <w:rStyle w:val="9"/>
          <w:rFonts w:hint="eastAsia" w:ascii="仿宋_GB2312" w:hAnsi="楷体" w:eastAsia="仿宋_GB2312" w:cs="Times New Roman"/>
          <w:b w:val="0"/>
          <w:color w:val="auto"/>
          <w:spacing w:val="-4"/>
          <w:sz w:val="32"/>
          <w:szCs w:val="32"/>
          <w:highlight w:val="none"/>
          <w:lang w:val="en-US" w:eastAsia="zh-CN"/>
        </w:rPr>
        <w:t>%</w:t>
      </w:r>
      <w:r>
        <w:rPr>
          <w:rFonts w:hint="eastAsia" w:ascii="仿宋_GB2312" w:hAnsi="仿宋" w:eastAsia="仿宋_GB2312"/>
          <w:color w:val="auto"/>
          <w:sz w:val="32"/>
          <w:szCs w:val="32"/>
          <w:highlight w:val="none"/>
        </w:rPr>
        <w:t>，</w:t>
      </w:r>
      <w:r>
        <w:rPr>
          <w:rStyle w:val="9"/>
          <w:rFonts w:hint="eastAsia" w:ascii="仿宋_GB2312" w:hAnsi="楷体" w:eastAsia="仿宋_GB2312" w:cs="Times New Roman"/>
          <w:b w:val="0"/>
          <w:color w:val="auto"/>
          <w:spacing w:val="-4"/>
          <w:sz w:val="32"/>
          <w:szCs w:val="32"/>
          <w:highlight w:val="none"/>
          <w:lang w:val="en-US" w:eastAsia="zh-CN"/>
        </w:rPr>
        <w:t>本次评价实际完成值是95%，</w:t>
      </w:r>
      <w:r>
        <w:rPr>
          <w:rFonts w:hint="eastAsia" w:ascii="仿宋_GB2312" w:hAnsi="仿宋" w:eastAsia="仿宋_GB2312"/>
          <w:color w:val="auto"/>
          <w:sz w:val="32"/>
          <w:szCs w:val="32"/>
          <w:highlight w:val="none"/>
        </w:rPr>
        <w:t>达到预期目标</w:t>
      </w:r>
      <w:r>
        <w:rPr>
          <w:rFonts w:hint="eastAsia" w:ascii="仿宋_GB2312" w:hAnsi="仿宋" w:eastAsia="仿宋_GB2312"/>
          <w:color w:val="auto"/>
          <w:sz w:val="32"/>
          <w:szCs w:val="32"/>
          <w:highlight w:val="none"/>
          <w:lang w:val="en-US" w:eastAsia="zh-CN"/>
        </w:rPr>
        <w:t>。</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评价结论：</w:t>
      </w:r>
    </w:p>
    <w:p>
      <w:pPr>
        <w:spacing w:line="540" w:lineRule="exact"/>
        <w:ind w:firstLine="564" w:firstLineChars="181"/>
        <w:rPr>
          <w:rFonts w:ascii="仿宋_GB2312" w:hAnsi="宋体" w:eastAsia="仿宋_GB2312"/>
          <w:bCs/>
          <w:color w:val="auto"/>
          <w:sz w:val="32"/>
          <w:szCs w:val="32"/>
          <w:highlight w:val="none"/>
        </w:rPr>
      </w:pPr>
      <w:r>
        <w:rPr>
          <w:rStyle w:val="9"/>
          <w:rFonts w:hint="eastAsia" w:ascii="仿宋_GB2312" w:hAnsi="楷体" w:eastAsia="仿宋_GB2312" w:cs="Times New Roman"/>
          <w:b w:val="0"/>
          <w:color w:val="auto"/>
          <w:spacing w:val="-4"/>
          <w:sz w:val="32"/>
          <w:szCs w:val="32"/>
          <w:highlight w:val="none"/>
          <w:lang w:val="en-US" w:eastAsia="zh-CN"/>
        </w:rPr>
        <w:t>2023年度部门整体支出绩效自评综合得分99.92分，评价结果为“优”。</w:t>
      </w:r>
    </w:p>
    <w:p>
      <w:pPr>
        <w:numPr>
          <w:ilvl w:val="0"/>
          <w:numId w:val="1"/>
        </w:numPr>
        <w:snapToGrid w:val="0"/>
        <w:spacing w:line="540" w:lineRule="exact"/>
        <w:ind w:left="1980" w:leftChars="0" w:firstLineChars="0"/>
        <w:rPr>
          <w:rFonts w:ascii="黑体" w:hAnsi="黑体" w:eastAsia="黑体" w:cs="宋体"/>
          <w:b/>
          <w:color w:val="auto"/>
          <w:sz w:val="32"/>
          <w:szCs w:val="32"/>
          <w:highlight w:val="none"/>
          <w:lang w:bidi="ar"/>
        </w:rPr>
      </w:pPr>
      <w:r>
        <w:rPr>
          <w:rFonts w:hint="eastAsia" w:ascii="黑体" w:hAnsi="黑体" w:eastAsia="黑体" w:cs="宋体"/>
          <w:b/>
          <w:color w:val="auto"/>
          <w:sz w:val="32"/>
          <w:szCs w:val="32"/>
          <w:highlight w:val="none"/>
          <w:lang w:bidi="ar"/>
        </w:rPr>
        <w:t>存在的主要问题及原因分析：</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一</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预算执行存在偏差</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对个别项目资金使用方面预算不够细致，出现实际支出数超出了预算申报数和出现项目资金结</w:t>
      </w:r>
      <w:r>
        <w:rPr>
          <w:rFonts w:hint="eastAsia" w:ascii="仿宋_GB2312" w:hAnsi="仿宋" w:eastAsia="仿宋_GB2312" w:cs="仿宋"/>
          <w:color w:val="auto"/>
          <w:spacing w:val="-4"/>
          <w:sz w:val="32"/>
          <w:szCs w:val="32"/>
          <w:highlight w:val="none"/>
          <w:lang w:eastAsia="zh-CN"/>
        </w:rPr>
        <w:t>余数</w:t>
      </w:r>
      <w:r>
        <w:rPr>
          <w:rFonts w:ascii="仿宋_GB2312" w:hAnsi="仿宋" w:eastAsia="仿宋_GB2312" w:cs="仿宋"/>
          <w:color w:val="auto"/>
          <w:spacing w:val="-4"/>
          <w:sz w:val="32"/>
          <w:szCs w:val="32"/>
          <w:highlight w:val="none"/>
        </w:rPr>
        <w:t>额多的情况。</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目标设定科学性及评价存在难度</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对于目标设定需要分科室</w:t>
      </w:r>
      <w:r>
        <w:rPr>
          <w:rFonts w:hint="eastAsia" w:ascii="仿宋_GB2312" w:hAnsi="仿宋" w:eastAsia="仿宋_GB2312" w:cs="仿宋"/>
          <w:color w:val="auto"/>
          <w:spacing w:val="-4"/>
          <w:sz w:val="32"/>
          <w:szCs w:val="32"/>
          <w:highlight w:val="none"/>
          <w:lang w:eastAsia="zh-CN"/>
        </w:rPr>
        <w:t>单位</w:t>
      </w:r>
      <w:r>
        <w:rPr>
          <w:rFonts w:ascii="仿宋_GB2312" w:hAnsi="仿宋" w:eastAsia="仿宋_GB2312" w:cs="仿宋"/>
          <w:color w:val="auto"/>
          <w:spacing w:val="-4"/>
          <w:sz w:val="32"/>
          <w:szCs w:val="32"/>
          <w:highlight w:val="none"/>
        </w:rPr>
        <w:t>分解</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汇总后制定整体目标，如何科学整合全单位绩效目标比较困难；目标设定后如何科学设定考核评价标准，特别是对于不能量化的目标如何评价。</w:t>
      </w:r>
    </w:p>
    <w:p>
      <w:pPr>
        <w:keepNext w:val="0"/>
        <w:keepLines w:val="0"/>
        <w:pageBreakBefore w:val="0"/>
        <w:kinsoku/>
        <w:wordWrap/>
        <w:overflowPunct/>
        <w:topLinePunct w:val="0"/>
        <w:autoSpaceDE/>
        <w:autoSpaceDN/>
        <w:bidi w:val="0"/>
        <w:adjustRightInd/>
        <w:snapToGrid/>
        <w:spacing w:line="560" w:lineRule="exact"/>
        <w:ind w:firstLine="625" w:firstLineChars="200"/>
        <w:textAlignment w:val="auto"/>
        <w:rPr>
          <w:rFonts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（三）财务管理方面，会计核算还不够细致</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对于有些能够细分的工作</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未能详细分类核算</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绩效评价基础数据不够精准。</w:t>
      </w:r>
    </w:p>
    <w:p>
      <w:pPr>
        <w:pStyle w:val="12"/>
        <w:numPr>
          <w:ilvl w:val="0"/>
          <w:numId w:val="0"/>
        </w:numPr>
        <w:snapToGrid w:val="0"/>
        <w:spacing w:line="540" w:lineRule="exact"/>
        <w:ind w:left="640" w:leftChars="0"/>
        <w:rPr>
          <w:rStyle w:val="9"/>
          <w:rFonts w:hint="default" w:ascii="黑体" w:hAnsi="黑体" w:eastAsia="黑体"/>
          <w:b w:val="0"/>
          <w:bCs w:val="0"/>
          <w:color w:val="auto"/>
          <w:spacing w:val="-4"/>
          <w:sz w:val="32"/>
          <w:szCs w:val="32"/>
          <w:highlight w:val="none"/>
        </w:rPr>
      </w:pPr>
    </w:p>
    <w:p>
      <w:pPr>
        <w:pStyle w:val="12"/>
        <w:numPr>
          <w:ilvl w:val="0"/>
          <w:numId w:val="0"/>
        </w:numPr>
        <w:snapToGrid w:val="0"/>
        <w:spacing w:line="540" w:lineRule="exact"/>
        <w:ind w:left="640" w:leftChars="0"/>
        <w:rPr>
          <w:rStyle w:val="9"/>
          <w:rFonts w:ascii="黑体" w:hAnsi="黑体" w:eastAsia="黑体"/>
          <w:b w:val="0"/>
          <w:bCs w:val="0"/>
          <w:color w:val="auto"/>
          <w:spacing w:val="-4"/>
          <w:sz w:val="32"/>
          <w:szCs w:val="32"/>
          <w:highlight w:val="none"/>
        </w:rPr>
      </w:pPr>
      <w:r>
        <w:rPr>
          <w:rStyle w:val="9"/>
          <w:rFonts w:hint="default" w:ascii="黑体" w:hAnsi="黑体" w:eastAsia="黑体"/>
          <w:b w:val="0"/>
          <w:bCs w:val="0"/>
          <w:color w:val="auto"/>
          <w:spacing w:val="-4"/>
          <w:sz w:val="32"/>
          <w:szCs w:val="32"/>
          <w:highlight w:val="none"/>
        </w:rPr>
        <w:t>六、</w:t>
      </w:r>
      <w:r>
        <w:rPr>
          <w:rStyle w:val="9"/>
          <w:rFonts w:hint="eastAsia" w:ascii="黑体" w:hAnsi="黑体" w:eastAsia="黑体"/>
          <w:b w:val="0"/>
          <w:bCs w:val="0"/>
          <w:color w:val="auto"/>
          <w:spacing w:val="-4"/>
          <w:sz w:val="32"/>
          <w:szCs w:val="32"/>
          <w:highlight w:val="none"/>
        </w:rPr>
        <w:t>改进措施和建议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hint="eastAsia" w:ascii="仿宋_GB2312" w:hAnsi="仿宋" w:eastAsia="仿宋_GB2312" w:cs="仿宋"/>
          <w:color w:val="auto"/>
          <w:spacing w:val="-4"/>
          <w:kern w:val="2"/>
          <w:sz w:val="32"/>
          <w:szCs w:val="32"/>
          <w:highlight w:val="none"/>
          <w:lang w:val="en-US" w:eastAsia="zh-CN" w:bidi="ar-SA"/>
        </w:rPr>
        <w:t>（一）</w:t>
      </w:r>
      <w:r>
        <w:rPr>
          <w:rFonts w:ascii="仿宋_GB2312" w:hAnsi="仿宋" w:eastAsia="仿宋_GB2312" w:cs="仿宋"/>
          <w:color w:val="auto"/>
          <w:spacing w:val="-4"/>
          <w:kern w:val="2"/>
          <w:sz w:val="32"/>
          <w:szCs w:val="32"/>
          <w:highlight w:val="none"/>
          <w:lang w:val="en-US" w:eastAsia="zh-CN" w:bidi="ar-SA"/>
        </w:rPr>
        <w:t>加强新行政单位会计制度和新预算法学习培训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规范账务处理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加强新《预算法</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行政单位会计制度》 、《会计法》 、《行政单位财务规则》等学习培训</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规范</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预算收支核算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制定和完善基本支出、项目支出等各项支出标准</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严格按项目和进度执行预算</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 xml:space="preserve"> 增强预算的约束力和严肃性</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落实预算执行分析</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及时了解预算执行差异</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合理调整、纠正预算执行偏差，切实提高</w:t>
      </w:r>
      <w:r>
        <w:rPr>
          <w:rFonts w:hint="eastAsia" w:ascii="仿宋_GB2312" w:hAnsi="仿宋" w:eastAsia="仿宋_GB2312" w:cs="仿宋"/>
          <w:color w:val="auto"/>
          <w:spacing w:val="-4"/>
          <w:kern w:val="2"/>
          <w:sz w:val="32"/>
          <w:szCs w:val="32"/>
          <w:highlight w:val="none"/>
          <w:lang w:val="en-US" w:eastAsia="zh-CN" w:bidi="ar-SA"/>
        </w:rPr>
        <w:t>单位</w:t>
      </w:r>
      <w:r>
        <w:rPr>
          <w:rFonts w:ascii="仿宋_GB2312" w:hAnsi="仿宋" w:eastAsia="仿宋_GB2312" w:cs="仿宋"/>
          <w:color w:val="auto"/>
          <w:spacing w:val="-4"/>
          <w:kern w:val="2"/>
          <w:sz w:val="32"/>
          <w:szCs w:val="32"/>
          <w:highlight w:val="none"/>
          <w:lang w:val="en-US" w:eastAsia="zh-CN" w:bidi="ar-SA"/>
        </w:rPr>
        <w:t>预算收支管理水平。尽可能地做到决算与预算相衔接。</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ascii="楷体" w:hAnsi="楷体" w:eastAsia="楷体" w:cs="仿宋"/>
          <w:b/>
          <w:bCs/>
          <w:color w:val="auto"/>
          <w:spacing w:val="-4"/>
          <w:sz w:val="32"/>
          <w:szCs w:val="32"/>
          <w:highlight w:val="none"/>
        </w:rPr>
      </w:pPr>
      <w:r>
        <w:rPr>
          <w:rFonts w:hint="eastAsia" w:ascii="楷体" w:hAnsi="楷体" w:eastAsia="楷体" w:cs="仿宋"/>
          <w:b/>
          <w:bCs/>
          <w:color w:val="auto"/>
          <w:spacing w:val="-4"/>
          <w:sz w:val="32"/>
          <w:szCs w:val="32"/>
          <w:highlight w:val="none"/>
        </w:rPr>
        <w:t>（二）</w:t>
      </w:r>
      <w:r>
        <w:rPr>
          <w:rFonts w:ascii="楷体" w:hAnsi="楷体" w:eastAsia="楷体" w:cs="仿宋"/>
          <w:b/>
          <w:bCs/>
          <w:color w:val="auto"/>
          <w:spacing w:val="-4"/>
          <w:sz w:val="32"/>
          <w:szCs w:val="32"/>
          <w:highlight w:val="none"/>
        </w:rPr>
        <w:t>完善管理制度</w:t>
      </w:r>
      <w:r>
        <w:rPr>
          <w:rFonts w:hint="eastAsia" w:ascii="楷体" w:hAnsi="楷体" w:eastAsia="楷体" w:cs="仿宋"/>
          <w:b/>
          <w:bCs/>
          <w:color w:val="auto"/>
          <w:spacing w:val="-4"/>
          <w:sz w:val="32"/>
          <w:szCs w:val="32"/>
          <w:highlight w:val="none"/>
          <w:lang w:eastAsia="zh-CN"/>
        </w:rPr>
        <w:t>，</w:t>
      </w:r>
      <w:r>
        <w:rPr>
          <w:rFonts w:ascii="楷体" w:hAnsi="楷体" w:eastAsia="楷体" w:cs="仿宋"/>
          <w:b/>
          <w:bCs/>
          <w:color w:val="auto"/>
          <w:spacing w:val="-4"/>
          <w:sz w:val="32"/>
          <w:szCs w:val="32"/>
          <w:highlight w:val="none"/>
        </w:rPr>
        <w:t>进</w:t>
      </w:r>
      <w:r>
        <w:rPr>
          <w:rFonts w:hint="eastAsia" w:ascii="楷体" w:hAnsi="楷体" w:eastAsia="楷体" w:cs="仿宋"/>
          <w:b/>
          <w:bCs/>
          <w:color w:val="auto"/>
          <w:spacing w:val="-4"/>
          <w:sz w:val="32"/>
          <w:szCs w:val="32"/>
          <w:highlight w:val="none"/>
          <w:lang w:val="en-US" w:eastAsia="zh-CN"/>
        </w:rPr>
        <w:t>一步</w:t>
      </w:r>
      <w:r>
        <w:rPr>
          <w:rFonts w:ascii="楷体" w:hAnsi="楷体" w:eastAsia="楷体" w:cs="仿宋"/>
          <w:b/>
          <w:bCs/>
          <w:color w:val="auto"/>
          <w:spacing w:val="-4"/>
          <w:sz w:val="32"/>
          <w:szCs w:val="32"/>
          <w:highlight w:val="none"/>
        </w:rPr>
        <w:t>加强资产管理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sz w:val="32"/>
          <w:szCs w:val="32"/>
          <w:highlight w:val="none"/>
        </w:rPr>
      </w:pPr>
      <w:r>
        <w:rPr>
          <w:rFonts w:ascii="仿宋_GB2312" w:hAnsi="仿宋" w:eastAsia="仿宋_GB2312" w:cs="仿宋"/>
          <w:color w:val="auto"/>
          <w:spacing w:val="-4"/>
          <w:sz w:val="32"/>
          <w:szCs w:val="32"/>
          <w:highlight w:val="none"/>
        </w:rPr>
        <w:t>严格按照《固定资产管理办法》的规定加强固定资产管理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及时登记、更新台账，加强资产卡片管理</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对各类实物资产进行全面盘点</w:t>
      </w:r>
      <w:r>
        <w:rPr>
          <w:rFonts w:hint="eastAsia" w:ascii="仿宋_GB2312" w:hAnsi="仿宋" w:eastAsia="仿宋_GB2312" w:cs="仿宋"/>
          <w:color w:val="auto"/>
          <w:spacing w:val="-4"/>
          <w:sz w:val="32"/>
          <w:szCs w:val="32"/>
          <w:highlight w:val="none"/>
          <w:lang w:eastAsia="zh-CN"/>
        </w:rPr>
        <w:t>，</w:t>
      </w:r>
      <w:r>
        <w:rPr>
          <w:rFonts w:ascii="仿宋_GB2312" w:hAnsi="仿宋" w:eastAsia="仿宋_GB2312" w:cs="仿宋"/>
          <w:color w:val="auto"/>
          <w:spacing w:val="-4"/>
          <w:sz w:val="32"/>
          <w:szCs w:val="32"/>
          <w:highlight w:val="none"/>
        </w:rPr>
        <w:t>确保</w:t>
      </w:r>
      <w:r>
        <w:rPr>
          <w:rFonts w:hint="eastAsia" w:ascii="仿宋_GB2312" w:hAnsi="仿宋" w:eastAsia="仿宋_GB2312" w:cs="仿宋"/>
          <w:color w:val="auto"/>
          <w:spacing w:val="-4"/>
          <w:sz w:val="32"/>
          <w:szCs w:val="32"/>
          <w:highlight w:val="none"/>
          <w:lang w:eastAsia="zh-CN"/>
        </w:rPr>
        <w:t>账</w:t>
      </w:r>
      <w:r>
        <w:rPr>
          <w:rFonts w:ascii="仿宋_GB2312" w:hAnsi="仿宋" w:eastAsia="仿宋_GB2312" w:cs="仿宋"/>
          <w:color w:val="auto"/>
          <w:spacing w:val="-4"/>
          <w:sz w:val="32"/>
          <w:szCs w:val="32"/>
          <w:highlight w:val="none"/>
        </w:rPr>
        <w:t>、账实相符。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（三）加强学习如何科学合理制定绩效目标及考核体系，充分发挥绩效工作效用</w:t>
      </w:r>
      <w:r>
        <w:rPr>
          <w:rFonts w:hint="eastAsia" w:ascii="仿宋_GB2312" w:hAnsi="仿宋" w:eastAsia="仿宋_GB2312" w:cs="仿宋"/>
          <w:color w:val="auto"/>
          <w:spacing w:val="-4"/>
          <w:kern w:val="2"/>
          <w:sz w:val="32"/>
          <w:szCs w:val="32"/>
          <w:highlight w:val="none"/>
          <w:lang w:val="en-US" w:eastAsia="zh-CN" w:bidi="ar-SA"/>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仿宋" w:eastAsia="仿宋_GB2312" w:cs="仿宋"/>
          <w:color w:val="auto"/>
          <w:spacing w:val="-4"/>
          <w:kern w:val="2"/>
          <w:sz w:val="32"/>
          <w:szCs w:val="32"/>
          <w:highlight w:val="none"/>
          <w:lang w:val="en-US" w:eastAsia="zh-CN" w:bidi="ar-SA"/>
        </w:rPr>
      </w:pPr>
      <w:r>
        <w:rPr>
          <w:rFonts w:ascii="仿宋_GB2312" w:hAnsi="仿宋" w:eastAsia="仿宋_GB2312" w:cs="仿宋"/>
          <w:color w:val="auto"/>
          <w:spacing w:val="-4"/>
          <w:kern w:val="2"/>
          <w:sz w:val="32"/>
          <w:szCs w:val="32"/>
          <w:highlight w:val="none"/>
          <w:lang w:val="en-US" w:eastAsia="zh-CN" w:bidi="ar-SA"/>
        </w:rPr>
        <w:t>（四）财务上，会计核算要更加详细，为本单位各项工作的开展、总结、评估提供有效数据资料支撑</w:t>
      </w:r>
      <w:r>
        <w:rPr>
          <w:rFonts w:hint="eastAsia" w:ascii="仿宋_GB2312" w:hAnsi="仿宋" w:eastAsia="仿宋_GB2312" w:cs="仿宋"/>
          <w:color w:val="auto"/>
          <w:spacing w:val="-4"/>
          <w:kern w:val="2"/>
          <w:sz w:val="32"/>
          <w:szCs w:val="32"/>
          <w:highlight w:val="none"/>
          <w:lang w:val="en-US" w:eastAsia="zh-CN" w:bidi="ar-SA"/>
        </w:rPr>
        <w:t>，</w:t>
      </w:r>
      <w:r>
        <w:rPr>
          <w:rFonts w:ascii="仿宋_GB2312" w:hAnsi="仿宋" w:eastAsia="仿宋_GB2312" w:cs="仿宋"/>
          <w:color w:val="auto"/>
          <w:spacing w:val="-4"/>
          <w:kern w:val="2"/>
          <w:sz w:val="32"/>
          <w:szCs w:val="32"/>
          <w:highlight w:val="none"/>
          <w:lang w:val="en-US" w:eastAsia="zh-CN" w:bidi="ar-SA"/>
        </w:rPr>
        <w:t>为各项业务工作更好</w:t>
      </w:r>
      <w:r>
        <w:rPr>
          <w:rFonts w:hint="eastAsia" w:ascii="仿宋_GB2312" w:hAnsi="仿宋" w:eastAsia="仿宋_GB2312" w:cs="仿宋"/>
          <w:color w:val="auto"/>
          <w:spacing w:val="-4"/>
          <w:kern w:val="2"/>
          <w:sz w:val="32"/>
          <w:szCs w:val="32"/>
          <w:highlight w:val="none"/>
          <w:lang w:val="en-US" w:eastAsia="zh-CN" w:bidi="ar-SA"/>
        </w:rPr>
        <w:t>地</w:t>
      </w:r>
      <w:r>
        <w:rPr>
          <w:rFonts w:ascii="仿宋_GB2312" w:hAnsi="仿宋" w:eastAsia="仿宋_GB2312" w:cs="仿宋"/>
          <w:color w:val="auto"/>
          <w:spacing w:val="-4"/>
          <w:kern w:val="2"/>
          <w:sz w:val="32"/>
          <w:szCs w:val="32"/>
          <w:highlight w:val="none"/>
          <w:lang w:val="en-US" w:eastAsia="zh-CN" w:bidi="ar-SA"/>
        </w:rPr>
        <w:t>开展提供帮助。</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（五）从源头上强化对专项资金预算管理</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实行专项资金预算管理，结合单位实际</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 xml:space="preserve"> 按轻重缓急统筹安排编制预算</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提高预算编制科学性和合理性</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优化资金结构。</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（六）按时间进度分解资金使用计划</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hint="eastAsia" w:ascii="仿宋_GB2312" w:hAnsi="楷体" w:eastAsia="仿宋_GB2312" w:cs="仿宋"/>
          <w:color w:val="auto"/>
          <w:spacing w:val="-4"/>
          <w:sz w:val="32"/>
          <w:szCs w:val="32"/>
          <w:highlight w:val="none"/>
        </w:rPr>
      </w:pPr>
      <w:r>
        <w:rPr>
          <w:rFonts w:hint="eastAsia" w:ascii="仿宋_GB2312" w:hAnsi="楷体" w:eastAsia="仿宋_GB2312" w:cs="仿宋"/>
          <w:color w:val="auto"/>
          <w:spacing w:val="-4"/>
          <w:sz w:val="32"/>
          <w:szCs w:val="32"/>
          <w:highlight w:val="none"/>
        </w:rPr>
        <w:t>专项资金的使用，要事前做计划，事中进行控制，事后总结提高。合理安排资金使用</w:t>
      </w:r>
      <w:r>
        <w:rPr>
          <w:rFonts w:hint="eastAsia" w:ascii="仿宋_GB2312" w:hAnsi="楷体" w:eastAsia="仿宋_GB2312" w:cs="仿宋"/>
          <w:color w:val="auto"/>
          <w:spacing w:val="-4"/>
          <w:sz w:val="32"/>
          <w:szCs w:val="32"/>
          <w:highlight w:val="none"/>
          <w:lang w:eastAsia="zh-CN"/>
        </w:rPr>
        <w:t>，</w:t>
      </w:r>
      <w:r>
        <w:rPr>
          <w:rFonts w:hint="eastAsia" w:ascii="仿宋_GB2312" w:hAnsi="楷体" w:eastAsia="仿宋_GB2312" w:cs="仿宋"/>
          <w:color w:val="auto"/>
          <w:spacing w:val="-4"/>
          <w:sz w:val="32"/>
          <w:szCs w:val="32"/>
          <w:highlight w:val="none"/>
        </w:rPr>
        <w:t>充分体现资金投向的目标和效益。</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5" w:firstLineChars="200"/>
        <w:jc w:val="both"/>
        <w:textAlignment w:val="auto"/>
        <w:rPr>
          <w:rFonts w:hint="eastAsia" w:ascii="楷体" w:hAnsi="楷体" w:eastAsia="楷体" w:cs="仿宋"/>
          <w:b/>
          <w:bCs/>
          <w:color w:val="auto"/>
          <w:spacing w:val="-4"/>
          <w:sz w:val="32"/>
          <w:szCs w:val="32"/>
          <w:highlight w:val="none"/>
        </w:rPr>
      </w:pPr>
      <w:r>
        <w:rPr>
          <w:rFonts w:ascii="楷体" w:hAnsi="楷体" w:eastAsia="楷体" w:cs="仿宋"/>
          <w:b/>
          <w:bCs/>
          <w:color w:val="auto"/>
          <w:spacing w:val="-4"/>
          <w:sz w:val="32"/>
          <w:szCs w:val="32"/>
          <w:highlight w:val="none"/>
        </w:rPr>
        <w:t>（七）进一步提高绩效管理水平</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24" w:firstLineChars="200"/>
        <w:jc w:val="both"/>
        <w:textAlignment w:val="auto"/>
        <w:rPr>
          <w:rFonts w:ascii="仿宋_GB2312" w:hAnsi="楷体" w:eastAsia="仿宋_GB2312" w:cs="仿宋"/>
          <w:color w:val="auto"/>
          <w:spacing w:val="-4"/>
          <w:sz w:val="32"/>
          <w:szCs w:val="32"/>
          <w:highlight w:val="none"/>
        </w:rPr>
      </w:pPr>
      <w:r>
        <w:rPr>
          <w:rFonts w:ascii="仿宋_GB2312" w:hAnsi="楷体" w:eastAsia="仿宋_GB2312" w:cs="仿宋"/>
          <w:color w:val="auto"/>
          <w:spacing w:val="-4"/>
          <w:sz w:val="32"/>
          <w:szCs w:val="32"/>
          <w:highlight w:val="none"/>
        </w:rPr>
        <w:t>由于目前的预算管理在编制和实施中还存在编制不细、预算调整较多、追加预算比重较大等现象</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因此项目预算执行的准确性还有待加强</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同时分析手段和技术水平上还有待完善。在今后的工作中</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我们将加强与财政</w:t>
      </w:r>
      <w:r>
        <w:rPr>
          <w:rFonts w:hint="eastAsia" w:ascii="仿宋_GB2312" w:hAnsi="楷体" w:eastAsia="仿宋_GB2312" w:cs="仿宋"/>
          <w:color w:val="auto"/>
          <w:spacing w:val="-4"/>
          <w:sz w:val="32"/>
          <w:szCs w:val="32"/>
          <w:highlight w:val="none"/>
          <w:lang w:eastAsia="zh-CN"/>
        </w:rPr>
        <w:t>单位</w:t>
      </w:r>
      <w:r>
        <w:rPr>
          <w:rFonts w:ascii="仿宋_GB2312" w:hAnsi="楷体" w:eastAsia="仿宋_GB2312" w:cs="仿宋"/>
          <w:color w:val="auto"/>
          <w:spacing w:val="-4"/>
          <w:sz w:val="32"/>
          <w:szCs w:val="32"/>
          <w:highlight w:val="none"/>
        </w:rPr>
        <w:t>的紧密配合</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开展好整体支出及项目资金绩效管理工作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运用好绩效评价的结果</w:t>
      </w:r>
      <w:r>
        <w:rPr>
          <w:rFonts w:hint="eastAsia" w:ascii="仿宋_GB2312" w:hAnsi="楷体" w:eastAsia="仿宋_GB2312" w:cs="仿宋"/>
          <w:color w:val="auto"/>
          <w:spacing w:val="-4"/>
          <w:sz w:val="32"/>
          <w:szCs w:val="32"/>
          <w:highlight w:val="none"/>
          <w:lang w:eastAsia="zh-CN"/>
        </w:rPr>
        <w:t>，</w:t>
      </w:r>
      <w:r>
        <w:rPr>
          <w:rFonts w:ascii="仿宋_GB2312" w:hAnsi="楷体" w:eastAsia="仿宋_GB2312" w:cs="仿宋"/>
          <w:color w:val="auto"/>
          <w:spacing w:val="-4"/>
          <w:sz w:val="32"/>
          <w:szCs w:val="32"/>
          <w:highlight w:val="none"/>
        </w:rPr>
        <w:t>不断提升预算管理水平。</w:t>
      </w:r>
    </w:p>
    <w:p>
      <w:pPr>
        <w:spacing w:line="600" w:lineRule="exact"/>
        <w:ind w:firstLine="960" w:firstLineChars="300"/>
        <w:jc w:val="left"/>
        <w:rPr>
          <w:rFonts w:ascii="仿宋_GB2312" w:hAnsi="宋体" w:eastAsia="仿宋_GB2312"/>
          <w:bCs/>
          <w:color w:val="auto"/>
          <w:sz w:val="32"/>
          <w:szCs w:val="32"/>
          <w:highlight w:val="none"/>
        </w:rPr>
      </w:pPr>
    </w:p>
    <w:p>
      <w:pPr>
        <w:rPr>
          <w:color w:val="auto"/>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altName w:val="汉仪书宋二KW"/>
    <w:panose1 w:val="00000000000000000000"/>
    <w:charset w:val="86"/>
    <w:family w:val="script"/>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楷体简体">
    <w:altName w:val="汉仪楷体简"/>
    <w:panose1 w:val="00000000000000000000"/>
    <w:charset w:val="86"/>
    <w:family w:val="auto"/>
    <w:pitch w:val="default"/>
    <w:sig w:usb0="00000000" w:usb1="00000000"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980"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83466"/>
    <w:rsid w:val="00CE0C6C"/>
    <w:rsid w:val="00DB647F"/>
    <w:rsid w:val="00DC7E33"/>
    <w:rsid w:val="00E40ABD"/>
    <w:rsid w:val="00E8616A"/>
    <w:rsid w:val="00EB3604"/>
    <w:rsid w:val="01057E1B"/>
    <w:rsid w:val="01A65187"/>
    <w:rsid w:val="020B07BA"/>
    <w:rsid w:val="025F60B9"/>
    <w:rsid w:val="02656D15"/>
    <w:rsid w:val="02965E8D"/>
    <w:rsid w:val="037F0728"/>
    <w:rsid w:val="03D360F1"/>
    <w:rsid w:val="04440438"/>
    <w:rsid w:val="04D06597"/>
    <w:rsid w:val="04E4679D"/>
    <w:rsid w:val="053C376F"/>
    <w:rsid w:val="056B2C09"/>
    <w:rsid w:val="05731446"/>
    <w:rsid w:val="05CB6613"/>
    <w:rsid w:val="065340BF"/>
    <w:rsid w:val="06696209"/>
    <w:rsid w:val="071976DD"/>
    <w:rsid w:val="07505305"/>
    <w:rsid w:val="08CC471F"/>
    <w:rsid w:val="098242D9"/>
    <w:rsid w:val="0A417E47"/>
    <w:rsid w:val="0B6F48AA"/>
    <w:rsid w:val="0BC64CF0"/>
    <w:rsid w:val="0C1013EF"/>
    <w:rsid w:val="0C354671"/>
    <w:rsid w:val="0C993046"/>
    <w:rsid w:val="0CB7795C"/>
    <w:rsid w:val="0D19113A"/>
    <w:rsid w:val="0D1922F1"/>
    <w:rsid w:val="0D9F0DF1"/>
    <w:rsid w:val="0DBD196E"/>
    <w:rsid w:val="0E325CFD"/>
    <w:rsid w:val="0E737D65"/>
    <w:rsid w:val="0F471127"/>
    <w:rsid w:val="0FA5497F"/>
    <w:rsid w:val="10DF6E84"/>
    <w:rsid w:val="119055B4"/>
    <w:rsid w:val="11F017F5"/>
    <w:rsid w:val="120D1EEA"/>
    <w:rsid w:val="123F73AE"/>
    <w:rsid w:val="127423D4"/>
    <w:rsid w:val="12D07449"/>
    <w:rsid w:val="12E977B3"/>
    <w:rsid w:val="13072B53"/>
    <w:rsid w:val="1438599A"/>
    <w:rsid w:val="14775B53"/>
    <w:rsid w:val="14F27B7B"/>
    <w:rsid w:val="18344297"/>
    <w:rsid w:val="188924B6"/>
    <w:rsid w:val="189E58C4"/>
    <w:rsid w:val="197406AD"/>
    <w:rsid w:val="1999359E"/>
    <w:rsid w:val="19E24A4E"/>
    <w:rsid w:val="19F6744F"/>
    <w:rsid w:val="19FE0A5D"/>
    <w:rsid w:val="1B1332CA"/>
    <w:rsid w:val="1BFA024C"/>
    <w:rsid w:val="1C94135C"/>
    <w:rsid w:val="1CBE5A05"/>
    <w:rsid w:val="1CDE4763"/>
    <w:rsid w:val="1D073223"/>
    <w:rsid w:val="1D95187B"/>
    <w:rsid w:val="1F2E40D0"/>
    <w:rsid w:val="1F90448E"/>
    <w:rsid w:val="1FBB36D6"/>
    <w:rsid w:val="200F4073"/>
    <w:rsid w:val="210248A0"/>
    <w:rsid w:val="211F7E62"/>
    <w:rsid w:val="215A51EF"/>
    <w:rsid w:val="21E22F6F"/>
    <w:rsid w:val="229016F2"/>
    <w:rsid w:val="236F5373"/>
    <w:rsid w:val="23741243"/>
    <w:rsid w:val="23820713"/>
    <w:rsid w:val="247B4D27"/>
    <w:rsid w:val="24B86128"/>
    <w:rsid w:val="25930A3E"/>
    <w:rsid w:val="26122C15"/>
    <w:rsid w:val="28F109D1"/>
    <w:rsid w:val="291F3644"/>
    <w:rsid w:val="29C30BFF"/>
    <w:rsid w:val="2AF4485D"/>
    <w:rsid w:val="2AF77D81"/>
    <w:rsid w:val="2B043BBD"/>
    <w:rsid w:val="2B131174"/>
    <w:rsid w:val="2B4341EB"/>
    <w:rsid w:val="2B513E61"/>
    <w:rsid w:val="2C454A8E"/>
    <w:rsid w:val="2C9E18B5"/>
    <w:rsid w:val="2D8F0F02"/>
    <w:rsid w:val="2DC21BBA"/>
    <w:rsid w:val="2DE92A48"/>
    <w:rsid w:val="2E501733"/>
    <w:rsid w:val="2E913C19"/>
    <w:rsid w:val="2EE7129F"/>
    <w:rsid w:val="2EF80FF5"/>
    <w:rsid w:val="30252FB1"/>
    <w:rsid w:val="307179D7"/>
    <w:rsid w:val="30A967BD"/>
    <w:rsid w:val="30BD2E56"/>
    <w:rsid w:val="30C71428"/>
    <w:rsid w:val="30E6123B"/>
    <w:rsid w:val="31153648"/>
    <w:rsid w:val="311D1738"/>
    <w:rsid w:val="3148295B"/>
    <w:rsid w:val="31DC2E54"/>
    <w:rsid w:val="31FE0CEB"/>
    <w:rsid w:val="32650FE8"/>
    <w:rsid w:val="328647CF"/>
    <w:rsid w:val="32F63DCB"/>
    <w:rsid w:val="334B0733"/>
    <w:rsid w:val="3353337A"/>
    <w:rsid w:val="33D53037"/>
    <w:rsid w:val="34583CA2"/>
    <w:rsid w:val="350E12DF"/>
    <w:rsid w:val="35274E80"/>
    <w:rsid w:val="35446943"/>
    <w:rsid w:val="35752DE8"/>
    <w:rsid w:val="36E918C3"/>
    <w:rsid w:val="37213B34"/>
    <w:rsid w:val="37847141"/>
    <w:rsid w:val="379C4287"/>
    <w:rsid w:val="37E01ED0"/>
    <w:rsid w:val="38A61EBD"/>
    <w:rsid w:val="38BD6D70"/>
    <w:rsid w:val="3A560600"/>
    <w:rsid w:val="3A6433F2"/>
    <w:rsid w:val="3ABA302D"/>
    <w:rsid w:val="3B31606E"/>
    <w:rsid w:val="3BBF2075"/>
    <w:rsid w:val="3C1B2B4E"/>
    <w:rsid w:val="3D066B28"/>
    <w:rsid w:val="3E502FE6"/>
    <w:rsid w:val="3F9A26C0"/>
    <w:rsid w:val="3FD249C9"/>
    <w:rsid w:val="3FD35BB0"/>
    <w:rsid w:val="4004687B"/>
    <w:rsid w:val="40C329C5"/>
    <w:rsid w:val="421B0BD5"/>
    <w:rsid w:val="421C6A8E"/>
    <w:rsid w:val="42715D92"/>
    <w:rsid w:val="42D76E89"/>
    <w:rsid w:val="42ED7A1D"/>
    <w:rsid w:val="433C35D6"/>
    <w:rsid w:val="44081B00"/>
    <w:rsid w:val="441D492B"/>
    <w:rsid w:val="44202481"/>
    <w:rsid w:val="455525A3"/>
    <w:rsid w:val="455F5770"/>
    <w:rsid w:val="46CC7CC3"/>
    <w:rsid w:val="490A03E5"/>
    <w:rsid w:val="4CAD59B7"/>
    <w:rsid w:val="4CE26E4A"/>
    <w:rsid w:val="4CEE4B39"/>
    <w:rsid w:val="4D5352D2"/>
    <w:rsid w:val="4F245112"/>
    <w:rsid w:val="50966E31"/>
    <w:rsid w:val="50AC5F11"/>
    <w:rsid w:val="50E644F7"/>
    <w:rsid w:val="50FC6FB1"/>
    <w:rsid w:val="51936956"/>
    <w:rsid w:val="51C70EA9"/>
    <w:rsid w:val="51EC08C3"/>
    <w:rsid w:val="52DD0612"/>
    <w:rsid w:val="535401CD"/>
    <w:rsid w:val="53616619"/>
    <w:rsid w:val="53B535AD"/>
    <w:rsid w:val="53EF3CB0"/>
    <w:rsid w:val="54191C62"/>
    <w:rsid w:val="54942087"/>
    <w:rsid w:val="54F842B6"/>
    <w:rsid w:val="55525A1B"/>
    <w:rsid w:val="57C514DD"/>
    <w:rsid w:val="57F754E9"/>
    <w:rsid w:val="58125EAF"/>
    <w:rsid w:val="587962AC"/>
    <w:rsid w:val="58CB188F"/>
    <w:rsid w:val="58CF52AA"/>
    <w:rsid w:val="58F84CC2"/>
    <w:rsid w:val="58FB7FD2"/>
    <w:rsid w:val="59315140"/>
    <w:rsid w:val="59E8491A"/>
    <w:rsid w:val="5A5005EF"/>
    <w:rsid w:val="5AE70C2F"/>
    <w:rsid w:val="5B317016"/>
    <w:rsid w:val="5B612024"/>
    <w:rsid w:val="5B844DDF"/>
    <w:rsid w:val="5B9757C7"/>
    <w:rsid w:val="5BD87229"/>
    <w:rsid w:val="5C464E4E"/>
    <w:rsid w:val="5C47767B"/>
    <w:rsid w:val="5CC72C7C"/>
    <w:rsid w:val="5DAB0D44"/>
    <w:rsid w:val="5E807869"/>
    <w:rsid w:val="5EB12FFC"/>
    <w:rsid w:val="5EC119C1"/>
    <w:rsid w:val="5ECD3880"/>
    <w:rsid w:val="5EF13F01"/>
    <w:rsid w:val="5FCF4505"/>
    <w:rsid w:val="60810646"/>
    <w:rsid w:val="60861653"/>
    <w:rsid w:val="60A001E1"/>
    <w:rsid w:val="61533F93"/>
    <w:rsid w:val="61CC3282"/>
    <w:rsid w:val="62B138A5"/>
    <w:rsid w:val="62FF41BC"/>
    <w:rsid w:val="649E5A54"/>
    <w:rsid w:val="64B37927"/>
    <w:rsid w:val="64F5745B"/>
    <w:rsid w:val="65431E53"/>
    <w:rsid w:val="656071F2"/>
    <w:rsid w:val="65E66B55"/>
    <w:rsid w:val="668A5953"/>
    <w:rsid w:val="67163E36"/>
    <w:rsid w:val="67294323"/>
    <w:rsid w:val="67A46ABB"/>
    <w:rsid w:val="67A760D9"/>
    <w:rsid w:val="68141A48"/>
    <w:rsid w:val="68301DD3"/>
    <w:rsid w:val="68E935B2"/>
    <w:rsid w:val="68F071D2"/>
    <w:rsid w:val="69226B8E"/>
    <w:rsid w:val="697650C9"/>
    <w:rsid w:val="6990449C"/>
    <w:rsid w:val="6A3D62B1"/>
    <w:rsid w:val="6BF1756B"/>
    <w:rsid w:val="6C4770EF"/>
    <w:rsid w:val="6CC17A4F"/>
    <w:rsid w:val="6D920313"/>
    <w:rsid w:val="6DE0371D"/>
    <w:rsid w:val="6E620CF2"/>
    <w:rsid w:val="6EC45659"/>
    <w:rsid w:val="6F56616E"/>
    <w:rsid w:val="6F5E1AA3"/>
    <w:rsid w:val="6F8D5764"/>
    <w:rsid w:val="6FC0465E"/>
    <w:rsid w:val="6FC63036"/>
    <w:rsid w:val="702A415B"/>
    <w:rsid w:val="70AD31F0"/>
    <w:rsid w:val="71E830CF"/>
    <w:rsid w:val="72310225"/>
    <w:rsid w:val="741F01E3"/>
    <w:rsid w:val="75E10FF1"/>
    <w:rsid w:val="763F556D"/>
    <w:rsid w:val="76434FBA"/>
    <w:rsid w:val="76570E0B"/>
    <w:rsid w:val="769A4E05"/>
    <w:rsid w:val="76D8191F"/>
    <w:rsid w:val="7772178F"/>
    <w:rsid w:val="78333936"/>
    <w:rsid w:val="7912435D"/>
    <w:rsid w:val="7A362281"/>
    <w:rsid w:val="7B2A25EA"/>
    <w:rsid w:val="7B5A04B1"/>
    <w:rsid w:val="7C5764FD"/>
    <w:rsid w:val="7C723EE6"/>
    <w:rsid w:val="7C734CF6"/>
    <w:rsid w:val="7D7C60F8"/>
    <w:rsid w:val="7EA70AA9"/>
    <w:rsid w:val="7F200B83"/>
    <w:rsid w:val="7F5D585A"/>
    <w:rsid w:val="7FCA0E68"/>
    <w:rsid w:val="7FD2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cs="Times New Roman"/>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character" w:customStyle="1" w:styleId="14">
    <w:name w:val="font01"/>
    <w:basedOn w:val="8"/>
    <w:uiPriority w:val="0"/>
    <w:rPr>
      <w:rFonts w:hint="eastAsia" w:ascii="宋体" w:hAnsi="宋体" w:eastAsia="宋体" w:cs="宋体"/>
      <w:color w:val="000000"/>
      <w:sz w:val="24"/>
      <w:szCs w:val="24"/>
      <w:u w:val="none"/>
    </w:rPr>
  </w:style>
  <w:style w:type="character" w:customStyle="1" w:styleId="15">
    <w:name w:val="font21"/>
    <w:basedOn w:val="8"/>
    <w:uiPriority w:val="0"/>
    <w:rPr>
      <w:rFonts w:hint="default" w:ascii="Calibri" w:hAnsi="Calibri" w:cs="Calibri"/>
      <w:color w:val="000000"/>
      <w:sz w:val="24"/>
      <w:szCs w:val="24"/>
      <w:u w:val="none"/>
    </w:rPr>
  </w:style>
  <w:style w:type="character" w:customStyle="1" w:styleId="16">
    <w:name w:val="font11"/>
    <w:basedOn w:val="8"/>
    <w:uiPriority w:val="0"/>
    <w:rPr>
      <w:rFonts w:hint="default" w:ascii="Calibri" w:hAnsi="Calibri" w:cs="Calibri"/>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57</Words>
  <Characters>328</Characters>
  <Lines>2</Lines>
  <Paragraphs>1</Paragraphs>
  <TotalTime>2</TotalTime>
  <ScaleCrop>false</ScaleCrop>
  <LinksUpToDate>false</LinksUpToDate>
  <CharactersWithSpaces>384</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2020-06-04T21:22:00Z</dcterms:created>
  <dc:creator>hongbing liu</dc:creator>
  <cp:lastModifiedBy>太阳</cp:lastModifiedBy>
  <dcterms:modified xsi:type="dcterms:W3CDTF">2024-10-11T19:40:01Z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4E2A216151A24EE5A190066F518526B7</vt:lpwstr>
  </property>
</Properties>
</file>