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民丰县维吾尔医院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部门单位名称（公章）：民丰县维吾尔医院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（1）为人民群众提供维吾尔医药医疗、预防、保健、康复等医疗卫生服务。</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（2）贯彻落实医药卫生体制改革、维吾尔医药并重方针和国家中医药法律法规，执行中医药政策；拟定实施中医药、民族医药发展战略、规划；指导全县各医疗机构发展民族医药业务建设。</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（3）贯彻落实国家基本药物制度和药品集中采购工作，执行医用耗材集中采购工作；负责医院内部的药品和医疗器械管理工作。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（4）承担县委政府及县卫生局交办的其他卫生工作。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color w:val="auto"/>
          <w:sz w:val="32"/>
          <w:szCs w:val="32"/>
          <w:highlight w:val="none"/>
          <w:lang w:eastAsia="zh-CN"/>
        </w:rPr>
      </w:pPr>
      <w:r>
        <w:rPr>
          <w:rFonts w:hint="eastAsia" w:ascii="仿宋_GB2312" w:hAnsi="宋体" w:eastAsia="仿宋_GB2312"/>
          <w:b w:val="0"/>
          <w:bCs/>
          <w:color w:val="auto"/>
          <w:sz w:val="32"/>
          <w:szCs w:val="32"/>
          <w:highlight w:val="none"/>
          <w:lang w:eastAsia="zh-CN"/>
        </w:rPr>
        <w:t>2023年我医院现有业务科室13个；包括：院办、财务科、门诊部、医务科、护理部、心内科、妇科、皮肤科、骨关节科、胃肝肠科、药剂科、制剂室、康复科等科室。民丰县维吾尔医医院编制人数22人，其中：实有在编制数20人，退休人员9人、自收自支1人，临聘人员45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目标1：贯彻执行党的卫生工作方针政策和国家卫生法律法规，以医疗、预防、保健、教学、康复为一体的综合性医院，主要承担全县医疗服务。</w:t>
      </w:r>
    </w:p>
    <w:p>
      <w:pPr>
        <w:spacing w:line="600" w:lineRule="exact"/>
        <w:ind w:firstLine="936" w:firstLineChars="300"/>
        <w:jc w:val="left"/>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普及卫生保健常识，实施重点人群及重点场所健康教育，帮助居民形成有利于维护和增进健康的行为方式；指导开展爱国卫生工作。规范预防保健科，有突发公共卫生事件应急处置领导小组，专人负责预防保健及突发公共卫生事件相关工作。</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0万元，预算数（调整后）208.05万元，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208.05万元，执行率100%。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548.21万元，预算数（调整后）1323.14万元，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1302.28万元，执行率98.42%。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720万元，预算数（调整后）0万元，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维吾尔医院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1273.31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804.42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468.89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1252.45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维吾尔医院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49.83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49.83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49.83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49.83</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208.05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208.05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维吾尔医院</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6"/>
        <w:gridCol w:w="2663"/>
        <w:gridCol w:w="1995"/>
      </w:tblGrid>
      <w:tr>
        <w:tc>
          <w:tcPr>
            <w:tcW w:w="525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663"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1995"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525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2022年中央财政疫情防控补助资金（民丰县疫情期间黄码医院通勤酒店住宿费）和地财社（2022）55号</w:t>
            </w:r>
          </w:p>
        </w:tc>
        <w:tc>
          <w:tcPr>
            <w:tcW w:w="2663"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4.3</w:t>
            </w:r>
          </w:p>
        </w:tc>
        <w:tc>
          <w:tcPr>
            <w:tcW w:w="1995"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525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民丰县维吾</w:t>
            </w:r>
            <w:r>
              <w:rPr>
                <w:rFonts w:hint="eastAsia" w:ascii="Calibri" w:hAnsi="Calibri" w:cs="Calibri"/>
                <w:i w:val="0"/>
                <w:color w:val="000000"/>
                <w:kern w:val="0"/>
                <w:sz w:val="24"/>
                <w:szCs w:val="24"/>
                <w:u w:val="none"/>
                <w:lang w:val="en-US" w:eastAsia="zh-CN" w:bidi="ar"/>
              </w:rPr>
              <w:t>尔</w:t>
            </w:r>
            <w:r>
              <w:rPr>
                <w:rFonts w:hint="default" w:ascii="Calibri" w:hAnsi="Calibri" w:eastAsia="宋体" w:cs="Calibri"/>
                <w:i w:val="0"/>
                <w:color w:val="000000"/>
                <w:kern w:val="0"/>
                <w:sz w:val="24"/>
                <w:szCs w:val="24"/>
                <w:u w:val="none"/>
                <w:lang w:val="en-US" w:eastAsia="zh-CN" w:bidi="ar"/>
              </w:rPr>
              <w:t>医医院2023年第二批重大传染病防控补助资金，用于购买结核筛查试剂</w:t>
            </w:r>
          </w:p>
        </w:tc>
        <w:tc>
          <w:tcPr>
            <w:tcW w:w="2663"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1.95</w:t>
            </w:r>
          </w:p>
        </w:tc>
        <w:tc>
          <w:tcPr>
            <w:tcW w:w="1995"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w:t>
            </w:r>
            <w:r>
              <w:rPr>
                <w:rFonts w:hint="eastAsia" w:ascii="宋体" w:hAnsi="宋体" w:cs="宋体"/>
                <w:i w:val="0"/>
                <w:color w:val="auto"/>
                <w:kern w:val="0"/>
                <w:sz w:val="22"/>
                <w:szCs w:val="22"/>
                <w:highlight w:val="none"/>
                <w:u w:val="none"/>
                <w:lang w:val="en-US" w:eastAsia="zh-CN" w:bidi="ar"/>
              </w:rPr>
              <w:t>专项</w:t>
            </w:r>
          </w:p>
        </w:tc>
      </w:tr>
      <w:tr>
        <w:tc>
          <w:tcPr>
            <w:tcW w:w="525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民丰县维吾尔医医院采购黄码医院手术设备项目</w:t>
            </w:r>
          </w:p>
        </w:tc>
        <w:tc>
          <w:tcPr>
            <w:tcW w:w="2663"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135.8</w:t>
            </w:r>
          </w:p>
        </w:tc>
        <w:tc>
          <w:tcPr>
            <w:tcW w:w="1995"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525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民丰县维吾尔医医院购置PACS系统及合理用药检测建设项目</w:t>
            </w:r>
          </w:p>
        </w:tc>
        <w:tc>
          <w:tcPr>
            <w:tcW w:w="2663"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66</w:t>
            </w:r>
          </w:p>
        </w:tc>
        <w:tc>
          <w:tcPr>
            <w:tcW w:w="1995"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525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民丰县维吾尔医医院采购新冠肺炎疫情防控中草饮片</w:t>
            </w:r>
          </w:p>
        </w:tc>
        <w:tc>
          <w:tcPr>
            <w:tcW w:w="2663"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49.83</w:t>
            </w:r>
          </w:p>
        </w:tc>
        <w:tc>
          <w:tcPr>
            <w:tcW w:w="1995"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维吾尔医院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1273.31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804.42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468.89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1252.45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98.36</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208.05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208.05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2022年中央财政疫情防控补助资金（民丰县疫情期间黄码医院通勤酒店住宿费）和地财社（2022）55号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4.3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kern w:val="0"/>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4.3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eastAsia="宋体"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民丰县维吾医医院2023年第二批重大传染病防控补助资金，用于购买结核筛查试剂</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1.95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_GB2312" w:hAnsi="仿宋" w:eastAsia="仿宋_GB2312" w:cs="宋体"/>
                <w:color w:val="auto"/>
                <w:kern w:val="0"/>
                <w:sz w:val="24"/>
                <w:szCs w:val="24"/>
                <w:highlight w:val="none"/>
                <w:lang w:val="en-US"/>
              </w:rPr>
            </w:pPr>
            <w:r>
              <w:rPr>
                <w:rFonts w:hint="eastAsia" w:ascii="宋体" w:hAnsi="宋体" w:eastAsia="宋体" w:cs="宋体"/>
                <w:i w:val="0"/>
                <w:color w:val="auto"/>
                <w:kern w:val="0"/>
                <w:sz w:val="22"/>
                <w:szCs w:val="22"/>
                <w:highlight w:val="none"/>
                <w:u w:val="none"/>
                <w:lang w:val="en-US" w:eastAsia="zh-CN" w:bidi="ar"/>
              </w:rPr>
              <w:t>中央</w:t>
            </w:r>
            <w:r>
              <w:rPr>
                <w:rFonts w:hint="eastAsia" w:ascii="宋体" w:hAnsi="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1.95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bottom"/>
              <w:rPr>
                <w:rFonts w:hint="eastAsia" w:ascii="Calibri" w:hAnsi="Calibri" w:eastAsia="宋体" w:cs="Calibri"/>
                <w:i w:val="0"/>
                <w:color w:val="000000"/>
                <w:kern w:val="0"/>
                <w:sz w:val="24"/>
                <w:szCs w:val="24"/>
                <w:u w:val="none"/>
                <w:lang w:val="en-US" w:eastAsia="zh-CN" w:bidi="ar"/>
              </w:rPr>
            </w:pPr>
            <w:r>
              <w:rPr>
                <w:rFonts w:hint="eastAsia" w:ascii="Calibri" w:hAnsi="Calibri" w:eastAsia="宋体"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民丰县维吾尔医医院采购黄码医院手术设备项目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135.8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kern w:val="0"/>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135.8</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bottom"/>
              <w:rPr>
                <w:rFonts w:hint="eastAsia" w:ascii="Calibri" w:hAnsi="Calibri" w:eastAsia="宋体" w:cs="Calibri"/>
                <w:i w:val="0"/>
                <w:color w:val="000000"/>
                <w:kern w:val="0"/>
                <w:sz w:val="24"/>
                <w:szCs w:val="24"/>
                <w:u w:val="none"/>
                <w:lang w:val="en-US" w:eastAsia="zh-CN" w:bidi="ar"/>
              </w:rPr>
            </w:pPr>
            <w:r>
              <w:rPr>
                <w:rFonts w:hint="eastAsia" w:ascii="Calibri" w:hAnsi="Calibri" w:eastAsia="宋体"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民丰县维吾尔医医院购置PACS系统及合理用药检测建设项目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66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kern w:val="0"/>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default" w:ascii="仿宋_GB2312" w:hAnsi="仿宋" w:eastAsia="仿宋_GB2312" w:cs="宋体"/>
                <w:color w:val="auto"/>
                <w:kern w:val="0"/>
                <w:sz w:val="32"/>
                <w:szCs w:val="32"/>
                <w:highlight w:val="none"/>
                <w:lang w:val="en-US" w:eastAsia="zh-CN"/>
              </w:rPr>
            </w:pPr>
            <w:r>
              <w:rPr>
                <w:rFonts w:hint="default" w:ascii="Calibri" w:hAnsi="Calibri" w:eastAsia="宋体" w:cs="Calibri"/>
                <w:i w:val="0"/>
                <w:color w:val="000000"/>
                <w:kern w:val="0"/>
                <w:sz w:val="24"/>
                <w:szCs w:val="24"/>
                <w:u w:val="none"/>
                <w:lang w:val="en-US" w:eastAsia="zh-CN" w:bidi="ar"/>
              </w:rPr>
              <w:t>66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bottom"/>
              <w:rPr>
                <w:rFonts w:hint="eastAsia" w:ascii="Calibri" w:hAnsi="Calibri" w:eastAsia="宋体" w:cs="Calibri"/>
                <w:i w:val="0"/>
                <w:color w:val="000000"/>
                <w:kern w:val="0"/>
                <w:sz w:val="24"/>
                <w:szCs w:val="24"/>
                <w:u w:val="none"/>
                <w:lang w:val="en-US" w:eastAsia="zh-CN" w:bidi="ar"/>
              </w:rPr>
            </w:pPr>
            <w:r>
              <w:rPr>
                <w:rFonts w:hint="eastAsia" w:ascii="Calibri" w:hAnsi="Calibri" w:eastAsia="宋体"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208.05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208.05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bottom"/>
              <w:rPr>
                <w:rFonts w:hint="eastAsia" w:ascii="Calibri" w:hAnsi="Calibri" w:eastAsia="宋体" w:cs="Calibri"/>
                <w:i w:val="0"/>
                <w:color w:val="000000"/>
                <w:kern w:val="0"/>
                <w:sz w:val="24"/>
                <w:szCs w:val="24"/>
                <w:u w:val="none"/>
                <w:lang w:val="en-US" w:eastAsia="zh-CN" w:bidi="ar"/>
              </w:rPr>
            </w:pPr>
            <w:r>
              <w:rPr>
                <w:rFonts w:hint="eastAsia" w:ascii="Calibri" w:hAnsi="Calibri" w:eastAsia="宋体" w:cs="Calibri"/>
                <w:i w:val="0"/>
                <w:color w:val="000000"/>
                <w:kern w:val="0"/>
                <w:sz w:val="24"/>
                <w:szCs w:val="24"/>
                <w:u w:val="none"/>
                <w:lang w:val="en-US" w:eastAsia="zh-CN" w:bidi="ar"/>
              </w:rPr>
              <w:t>100%</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（一）指标一：门诊问诊人次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门诊问诊人次</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大于等于6000人次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3807人次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本次评价实际完成值是8104人次，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（二）指标二：住院治疗服务人数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住院治疗服务人数，预期指标是</w:t>
      </w:r>
      <w:r>
        <w:rPr>
          <w:rFonts w:hint="eastAsia" w:ascii="仿宋_GB2312" w:hAnsi="仿宋" w:eastAsia="仿宋_GB2312"/>
          <w:color w:val="auto"/>
          <w:sz w:val="32"/>
          <w:szCs w:val="32"/>
          <w:highlight w:val="none"/>
          <w:lang w:val="en-US" w:eastAsia="zh-CN"/>
        </w:rPr>
        <w:t>大于等于2000人次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801人次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本次评价实际完成值是1534人次，</w:t>
      </w:r>
      <w:r>
        <w:rPr>
          <w:rFonts w:hint="eastAsia" w:ascii="仿宋_GB2312" w:hAnsi="仿宋" w:eastAsia="仿宋_GB2312"/>
          <w:color w:val="auto"/>
          <w:sz w:val="32"/>
          <w:szCs w:val="32"/>
          <w:highlight w:val="none"/>
        </w:rPr>
        <w:t>未达到预期目标。</w:t>
      </w:r>
      <w:r>
        <w:rPr>
          <w:rFonts w:hint="eastAsia" w:ascii="仿宋_GB2312" w:hAnsi="仿宋" w:eastAsia="仿宋_GB2312"/>
          <w:color w:val="auto"/>
          <w:sz w:val="32"/>
          <w:szCs w:val="32"/>
          <w:highlight w:val="none"/>
          <w:lang w:val="en-US" w:eastAsia="zh-CN"/>
        </w:rPr>
        <w:t>原因：年初预算不精准，人数按照实际需求存在变动。措施：加强年初预算精准度。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（三）指标三：基本药物品种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基本药物品种，预期指标是</w:t>
      </w:r>
      <w:r>
        <w:rPr>
          <w:rFonts w:hint="eastAsia" w:ascii="仿宋_GB2312" w:hAnsi="仿宋" w:eastAsia="仿宋_GB2312"/>
          <w:color w:val="auto"/>
          <w:sz w:val="32"/>
          <w:szCs w:val="32"/>
          <w:highlight w:val="none"/>
          <w:lang w:val="en-US" w:eastAsia="zh-CN"/>
        </w:rPr>
        <w:t>大于等于19种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22种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本次评价实际完成值是22种，</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（四）指标四：医生培训次数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医生培训次数，预期指标是</w:t>
      </w:r>
      <w:r>
        <w:rPr>
          <w:rFonts w:hint="eastAsia" w:ascii="仿宋_GB2312" w:hAnsi="仿宋" w:eastAsia="仿宋_GB2312"/>
          <w:color w:val="auto"/>
          <w:sz w:val="32"/>
          <w:szCs w:val="32"/>
          <w:highlight w:val="none"/>
          <w:lang w:val="en-US" w:eastAsia="zh-CN"/>
        </w:rPr>
        <w:t>大于等于24次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本次评价实际完成值是24次，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（五）指标五：医院平均住院日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医院平均住院日，预期指标是</w:t>
      </w:r>
      <w:r>
        <w:rPr>
          <w:rFonts w:hint="eastAsia" w:ascii="仿宋_GB2312" w:hAnsi="仿宋" w:eastAsia="仿宋_GB2312"/>
          <w:color w:val="auto"/>
          <w:sz w:val="32"/>
          <w:szCs w:val="32"/>
          <w:highlight w:val="none"/>
          <w:lang w:val="en-US" w:eastAsia="zh-CN"/>
        </w:rPr>
        <w:t>小于等于13天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13天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本次评价实际完成值是13天，</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（六）指标六：就诊患者满意度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就诊患者满意度，预期指标是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2023年度部门整体支出绩效自评综合得分96.36分，评价结果为“优”。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67C47AA"/>
    <w:rsid w:val="08756028"/>
    <w:rsid w:val="08CC471F"/>
    <w:rsid w:val="091F07D1"/>
    <w:rsid w:val="0B6F48AA"/>
    <w:rsid w:val="0D1922F1"/>
    <w:rsid w:val="0E737D65"/>
    <w:rsid w:val="107A363A"/>
    <w:rsid w:val="10DF6E84"/>
    <w:rsid w:val="12D07449"/>
    <w:rsid w:val="1438599A"/>
    <w:rsid w:val="14C3504E"/>
    <w:rsid w:val="14F27B7B"/>
    <w:rsid w:val="168D3494"/>
    <w:rsid w:val="189E58C4"/>
    <w:rsid w:val="197406AD"/>
    <w:rsid w:val="19F6744F"/>
    <w:rsid w:val="1D073223"/>
    <w:rsid w:val="1D95187B"/>
    <w:rsid w:val="1FBB36D6"/>
    <w:rsid w:val="200F4073"/>
    <w:rsid w:val="215967B8"/>
    <w:rsid w:val="229016F2"/>
    <w:rsid w:val="24B86128"/>
    <w:rsid w:val="25332FCF"/>
    <w:rsid w:val="26293E16"/>
    <w:rsid w:val="285C37A9"/>
    <w:rsid w:val="28F109D1"/>
    <w:rsid w:val="291F3644"/>
    <w:rsid w:val="2A515BC7"/>
    <w:rsid w:val="2B4341EB"/>
    <w:rsid w:val="2DE92A48"/>
    <w:rsid w:val="2E0350C3"/>
    <w:rsid w:val="2E913C19"/>
    <w:rsid w:val="2EF80FF5"/>
    <w:rsid w:val="30034715"/>
    <w:rsid w:val="307179D7"/>
    <w:rsid w:val="31153648"/>
    <w:rsid w:val="311D1738"/>
    <w:rsid w:val="33D53037"/>
    <w:rsid w:val="34857F9C"/>
    <w:rsid w:val="350E12DF"/>
    <w:rsid w:val="35174775"/>
    <w:rsid w:val="35274E80"/>
    <w:rsid w:val="354A7BB7"/>
    <w:rsid w:val="37213B34"/>
    <w:rsid w:val="3B5B657B"/>
    <w:rsid w:val="3BBF2075"/>
    <w:rsid w:val="3FD249C9"/>
    <w:rsid w:val="3FD35BB0"/>
    <w:rsid w:val="41BA2BD0"/>
    <w:rsid w:val="430619D6"/>
    <w:rsid w:val="433C35D6"/>
    <w:rsid w:val="43E1093D"/>
    <w:rsid w:val="44081B00"/>
    <w:rsid w:val="44202481"/>
    <w:rsid w:val="455525A3"/>
    <w:rsid w:val="45BF4BC9"/>
    <w:rsid w:val="4BE00070"/>
    <w:rsid w:val="4CE26E4A"/>
    <w:rsid w:val="4D5352D2"/>
    <w:rsid w:val="4F871F81"/>
    <w:rsid w:val="50966E31"/>
    <w:rsid w:val="50C449E9"/>
    <w:rsid w:val="51C70EA9"/>
    <w:rsid w:val="52DD0612"/>
    <w:rsid w:val="53B535AD"/>
    <w:rsid w:val="54942087"/>
    <w:rsid w:val="54F842B6"/>
    <w:rsid w:val="55525A1B"/>
    <w:rsid w:val="58C450B3"/>
    <w:rsid w:val="58CB188F"/>
    <w:rsid w:val="58FB7FD2"/>
    <w:rsid w:val="5A6F71F5"/>
    <w:rsid w:val="5AF28E34"/>
    <w:rsid w:val="5AF86D2D"/>
    <w:rsid w:val="5B9757C7"/>
    <w:rsid w:val="5EB12FFC"/>
    <w:rsid w:val="5FCF4505"/>
    <w:rsid w:val="5FE57E3F"/>
    <w:rsid w:val="60810646"/>
    <w:rsid w:val="60A001E1"/>
    <w:rsid w:val="61533F93"/>
    <w:rsid w:val="63453D0A"/>
    <w:rsid w:val="63884127"/>
    <w:rsid w:val="64F5745B"/>
    <w:rsid w:val="656071F2"/>
    <w:rsid w:val="67163E36"/>
    <w:rsid w:val="67A760D9"/>
    <w:rsid w:val="6BF1756B"/>
    <w:rsid w:val="6E346CE7"/>
    <w:rsid w:val="6EE02B0C"/>
    <w:rsid w:val="6F5E1AA3"/>
    <w:rsid w:val="751E52F6"/>
    <w:rsid w:val="75E10FF1"/>
    <w:rsid w:val="769A4E05"/>
    <w:rsid w:val="7B5A04B1"/>
    <w:rsid w:val="7C5764FD"/>
    <w:rsid w:val="7F200B83"/>
    <w:rsid w:val="7F5D585A"/>
    <w:rsid w:val="E8FE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8</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2024-10-11T19:41:54Z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