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民丰县统计局</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部门单位名称（公章）：民丰县统计局</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宋体" w:eastAsia="仿宋_GB2312"/>
          <w:b w:val="0"/>
          <w:bCs/>
          <w:color w:val="auto"/>
          <w:sz w:val="32"/>
          <w:szCs w:val="32"/>
          <w:highlight w:val="none"/>
        </w:rPr>
      </w:pPr>
      <w:r>
        <w:rPr>
          <w:rFonts w:hint="eastAsia" w:ascii="仿宋_GB2312" w:hAnsi="宋体" w:eastAsia="仿宋_GB2312"/>
          <w:b w:val="0"/>
          <w:bCs/>
          <w:color w:val="auto"/>
          <w:sz w:val="32"/>
          <w:szCs w:val="32"/>
          <w:highlight w:val="none"/>
        </w:rPr>
        <w:t>（1）</w:t>
      </w:r>
      <w:r>
        <w:rPr>
          <w:rFonts w:hint="eastAsia" w:ascii="仿宋_GB2312" w:hAnsi="宋体" w:eastAsia="仿宋_GB2312"/>
          <w:b w:val="0"/>
          <w:bCs/>
          <w:sz w:val="32"/>
          <w:szCs w:val="32"/>
        </w:rPr>
        <w:t>贯彻执行国家统计工作的方针、政策和统计法律法规</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研究统计制度和统计方法的改革</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完成国家和地方统计调查任务</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承担组织领导和协调全县统计工作</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确保统计数据真实、准确、及时</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监督检查统计法律法规的实施情况</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查处各类统计违法行为</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 xml:space="preserve">   </w:t>
      </w:r>
      <w:r>
        <w:rPr>
          <w:rFonts w:hint="eastAsia" w:ascii="仿宋_GB2312" w:hAnsi="宋体" w:eastAsia="仿宋_GB2312"/>
          <w:b w:val="0"/>
          <w:bCs/>
          <w:color w:val="auto"/>
          <w:sz w:val="32"/>
          <w:szCs w:val="32"/>
          <w:highlight w:val="none"/>
        </w:rPr>
        <w:t>（</w:t>
      </w:r>
      <w:r>
        <w:rPr>
          <w:rFonts w:hint="eastAsia" w:ascii="仿宋_GB2312" w:hAnsi="宋体" w:eastAsia="仿宋_GB2312"/>
          <w:b w:val="0"/>
          <w:bCs/>
          <w:color w:val="auto"/>
          <w:sz w:val="32"/>
          <w:szCs w:val="32"/>
          <w:highlight w:val="none"/>
          <w:lang w:val="en-US" w:eastAsia="zh-CN"/>
        </w:rPr>
        <w:t>2</w:t>
      </w:r>
      <w:r>
        <w:rPr>
          <w:rFonts w:hint="eastAsia" w:ascii="仿宋_GB2312" w:hAnsi="宋体" w:eastAsia="仿宋_GB2312"/>
          <w:b w:val="0"/>
          <w:bCs/>
          <w:color w:val="auto"/>
          <w:sz w:val="32"/>
          <w:szCs w:val="32"/>
          <w:highlight w:val="none"/>
        </w:rPr>
        <w:t>）</w:t>
      </w:r>
      <w:r>
        <w:rPr>
          <w:rFonts w:hint="eastAsia" w:ascii="仿宋_GB2312" w:hAnsi="宋体" w:eastAsia="仿宋_GB2312"/>
          <w:b w:val="0"/>
          <w:bCs/>
          <w:sz w:val="32"/>
          <w:szCs w:val="32"/>
        </w:rPr>
        <w:t>制定并组织实施全县统计改革和统计现代化建设规划及统计调查计划</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建立健全国民经济核算体系和统计指标体系</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组织实施全县国民经济核算制度和全县投入产出调查</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核算全县生产总值</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汇编提供国民经济核算资料。</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 xml:space="preserve">   </w:t>
      </w:r>
      <w:r>
        <w:rPr>
          <w:rFonts w:hint="eastAsia" w:ascii="仿宋_GB2312" w:hAnsi="宋体" w:eastAsia="仿宋_GB2312"/>
          <w:b w:val="0"/>
          <w:bCs/>
          <w:color w:val="auto"/>
          <w:sz w:val="32"/>
          <w:szCs w:val="32"/>
          <w:highlight w:val="none"/>
        </w:rPr>
        <w:t>（</w:t>
      </w:r>
      <w:r>
        <w:rPr>
          <w:rFonts w:hint="eastAsia" w:ascii="仿宋_GB2312" w:hAnsi="宋体" w:eastAsia="仿宋_GB2312"/>
          <w:b w:val="0"/>
          <w:bCs/>
          <w:color w:val="auto"/>
          <w:sz w:val="32"/>
          <w:szCs w:val="32"/>
          <w:highlight w:val="none"/>
          <w:lang w:val="en-US" w:eastAsia="zh-CN"/>
        </w:rPr>
        <w:t>3</w:t>
      </w:r>
      <w:r>
        <w:rPr>
          <w:rFonts w:hint="eastAsia" w:ascii="仿宋_GB2312" w:hAnsi="宋体" w:eastAsia="仿宋_GB2312"/>
          <w:b w:val="0"/>
          <w:bCs/>
          <w:color w:val="auto"/>
          <w:sz w:val="32"/>
          <w:szCs w:val="32"/>
          <w:highlight w:val="none"/>
        </w:rPr>
        <w:t>）</w:t>
      </w:r>
      <w:r>
        <w:rPr>
          <w:rFonts w:hint="eastAsia" w:ascii="仿宋_GB2312" w:hAnsi="宋体" w:eastAsia="仿宋_GB2312"/>
          <w:b w:val="0"/>
          <w:bCs/>
          <w:sz w:val="32"/>
          <w:szCs w:val="32"/>
        </w:rPr>
        <w:t>会同有关部门拟订重大普查计划与方案</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组织实施全县人口、经济、农业等重大普查</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汇总、整理和提供有关方面的统计数据。</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宋体"/>
          <w:b/>
          <w:color w:val="auto"/>
          <w:sz w:val="32"/>
          <w:szCs w:val="32"/>
          <w:highlight w:val="none"/>
          <w:lang w:bidi="ar"/>
        </w:rPr>
      </w:pPr>
      <w:r>
        <w:rPr>
          <w:rFonts w:hint="eastAsia" w:ascii="仿宋_GB2312" w:hAnsi="宋体" w:eastAsia="仿宋_GB2312"/>
          <w:b w:val="0"/>
          <w:bCs/>
          <w:sz w:val="32"/>
          <w:szCs w:val="32"/>
        </w:rPr>
        <w:t>民丰县统计局编制数10人，实有人数10人，其中：在职10人，退休0人，离休0人；行政编制6人，参照公务员法管理事业人员0人，非参公事业人</w:t>
      </w:r>
      <w:r>
        <w:rPr>
          <w:rFonts w:hint="eastAsia" w:ascii="仿宋_GB2312" w:hAnsi="宋体" w:eastAsia="仿宋_GB2312"/>
          <w:b w:val="0"/>
          <w:bCs/>
          <w:sz w:val="32"/>
          <w:szCs w:val="32"/>
          <w:lang w:eastAsia="zh-CN"/>
        </w:rPr>
        <w:t>民丰县</w:t>
      </w:r>
      <w:r>
        <w:rPr>
          <w:rFonts w:hint="eastAsia" w:ascii="仿宋_GB2312" w:hAnsi="宋体" w:eastAsia="仿宋_GB2312"/>
          <w:b w:val="0"/>
          <w:bCs/>
          <w:sz w:val="32"/>
          <w:szCs w:val="32"/>
        </w:rPr>
        <w:t>统计局编制数10人，实有人数10人，其中：在职10人，退休0人，离休0人；行政编制6人，参照公务员法管理事业人员0人，非参公事业人民丰县统计局编制数4人，实有人数4人，其中：在职4人，退休人，离休0人；行政编制6人，参照公务员法管理事业人员0人，非参公事业人员6人。</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1：紧紧围绕2023年经济发展目标任务，客观真实统计上报自治县经济发展各项数据。二是立足提升统计分析能力，加大专业数据分析工作，各专业每月根据报表数据进行分析，及时发现问题，从专业角度提出意见建议，形成分析，发挥统计预警作用，为县委、县政府提供高质量的决策信息，促进县域经济稳步发展。</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目标2：完成和田地区下达的相关专业的统计上报任务；审批和组织县直部门及群众团体统计调查方案和项目；管理各部门制发的统计调查表。</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目标3：提高统计各专业间的互动交流，推进县乡村、部门之间的横向联系，纵深配合，实现资源共享，数据统计有理有据。</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192.75万元，预算数（调整后）245.42万元，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243.71万元，执行率99.3%。</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0.45万元，预算数（调整后）0万元，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统计局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244.5</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189.63</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54.87</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242.79</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99.3</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统计局</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0.92</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0.92</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109.85</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0.92</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0.92</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统计局</w:t>
      </w:r>
      <w:r>
        <w:rPr>
          <w:rFonts w:hint="eastAsia" w:hAnsi="方正楷体简体"/>
          <w:color w:val="auto"/>
          <w:highlight w:val="none"/>
        </w:rPr>
        <w:t>项目支出共涉及</w:t>
      </w:r>
      <w:r>
        <w:rPr>
          <w:rFonts w:hint="eastAsia" w:hAnsi="方正楷体简体"/>
          <w:color w:val="auto"/>
          <w:highlight w:val="none"/>
          <w:lang w:val="en-US" w:eastAsia="zh-CN"/>
        </w:rPr>
        <w:t>5</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关于下达人口抽样调查经费的通知</w:t>
            </w:r>
          </w:p>
        </w:tc>
        <w:tc>
          <w:tcPr>
            <w:tcW w:w="2525" w:type="dxa"/>
            <w:vAlign w:val="center"/>
          </w:tcPr>
          <w:p>
            <w:pPr>
              <w:keepNext w:val="0"/>
              <w:keepLines w:val="0"/>
              <w:widowControl/>
              <w:suppressLineNumbers w:val="0"/>
              <w:jc w:val="right"/>
              <w:textAlignment w:val="center"/>
              <w:rPr>
                <w:rFonts w:hint="default" w:ascii="仿宋_GB2312" w:hAnsi="仿宋" w:eastAsia="仿宋_GB2312" w:cs="宋体"/>
                <w:color w:val="auto"/>
                <w:sz w:val="32"/>
                <w:szCs w:val="32"/>
                <w:highlight w:val="none"/>
                <w:lang w:val="en-US"/>
              </w:rPr>
            </w:pPr>
            <w:r>
              <w:rPr>
                <w:rFonts w:hint="eastAsia" w:ascii="宋体" w:hAnsi="宋体" w:cs="宋体"/>
                <w:i w:val="0"/>
                <w:color w:val="auto"/>
                <w:kern w:val="0"/>
                <w:sz w:val="22"/>
                <w:szCs w:val="22"/>
                <w:highlight w:val="none"/>
                <w:u w:val="none"/>
                <w:lang w:val="en-US" w:eastAsia="zh-CN" w:bidi="ar"/>
              </w:rPr>
              <w:t>0.45</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年中追加</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关于下达2023年人口抽样调查经费的通知</w:t>
            </w:r>
          </w:p>
        </w:tc>
        <w:tc>
          <w:tcPr>
            <w:tcW w:w="2525" w:type="dxa"/>
            <w:vAlign w:val="center"/>
          </w:tcPr>
          <w:p>
            <w:pPr>
              <w:keepNext w:val="0"/>
              <w:keepLines w:val="0"/>
              <w:widowControl/>
              <w:suppressLineNumbers w:val="0"/>
              <w:jc w:val="right"/>
              <w:textAlignment w:val="center"/>
              <w:rPr>
                <w:rFonts w:hint="default" w:ascii="仿宋_GB2312" w:hAnsi="仿宋" w:eastAsia="仿宋_GB2312" w:cs="宋体"/>
                <w:color w:val="auto"/>
                <w:sz w:val="32"/>
                <w:szCs w:val="32"/>
                <w:highlight w:val="none"/>
                <w:lang w:val="en-US"/>
              </w:rPr>
            </w:pPr>
            <w:r>
              <w:rPr>
                <w:rFonts w:hint="eastAsia" w:ascii="宋体" w:hAnsi="宋体" w:cs="宋体"/>
                <w:i w:val="0"/>
                <w:color w:val="auto"/>
                <w:kern w:val="0"/>
                <w:sz w:val="22"/>
                <w:szCs w:val="22"/>
                <w:highlight w:val="none"/>
                <w:u w:val="none"/>
                <w:lang w:val="en-US" w:eastAsia="zh-CN" w:bidi="ar"/>
              </w:rPr>
              <w:t>0.47</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年中追加</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民丰县2022年劳动力调查专项经费（2023年13号会议纪要）</w:t>
            </w:r>
          </w:p>
        </w:tc>
        <w:tc>
          <w:tcPr>
            <w:tcW w:w="2525" w:type="dxa"/>
            <w:vAlign w:val="bottom"/>
          </w:tcPr>
          <w:p>
            <w:pPr>
              <w:keepNext w:val="0"/>
              <w:keepLines w:val="0"/>
              <w:widowControl/>
              <w:suppressLineNumbers w:val="0"/>
              <w:jc w:val="right"/>
              <w:textAlignment w:val="center"/>
              <w:rPr>
                <w:rFonts w:hint="default" w:ascii="仿宋_GB2312" w:hAnsi="仿宋" w:eastAsia="仿宋_GB2312" w:cs="宋体"/>
                <w:color w:val="auto"/>
                <w:sz w:val="22"/>
                <w:szCs w:val="22"/>
                <w:highlight w:val="none"/>
                <w:lang w:val="en-US"/>
              </w:rPr>
            </w:pPr>
            <w:r>
              <w:rPr>
                <w:rFonts w:hint="default" w:ascii="仿宋_GB2312" w:hAnsi="仿宋" w:eastAsia="仿宋_GB2312" w:cs="宋体"/>
                <w:color w:val="auto"/>
                <w:sz w:val="22"/>
                <w:szCs w:val="22"/>
                <w:highlight w:val="none"/>
                <w:lang w:val="en-US" w:eastAsia="zh-CN"/>
              </w:rPr>
              <w:t>1.72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宋体" w:hAnsi="宋体" w:cs="宋体"/>
                <w:i w:val="0"/>
                <w:color w:val="auto"/>
                <w:kern w:val="0"/>
                <w:sz w:val="22"/>
                <w:szCs w:val="22"/>
                <w:highlight w:val="none"/>
                <w:u w:val="none"/>
                <w:lang w:val="en-US" w:eastAsia="zh-CN" w:bidi="ar"/>
              </w:rPr>
              <w:t>年中追加（未在项目支出体现）</w:t>
            </w:r>
          </w:p>
        </w:tc>
      </w:tr>
      <w:tr>
        <w:trPr>
          <w:trHeight w:val="352"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2022年城乡居民收入调查专项经费项目</w:t>
            </w:r>
          </w:p>
        </w:tc>
        <w:tc>
          <w:tcPr>
            <w:tcW w:w="2525" w:type="dxa"/>
            <w:vAlign w:val="bottom"/>
          </w:tcPr>
          <w:p>
            <w:pPr>
              <w:keepNext w:val="0"/>
              <w:keepLines w:val="0"/>
              <w:widowControl/>
              <w:suppressLineNumbers w:val="0"/>
              <w:jc w:val="right"/>
              <w:textAlignment w:val="center"/>
              <w:rPr>
                <w:rFonts w:hint="eastAsia" w:ascii="仿宋_GB2312" w:hAnsi="仿宋" w:eastAsia="仿宋_GB2312" w:cs="宋体"/>
                <w:color w:val="auto"/>
                <w:sz w:val="22"/>
                <w:szCs w:val="22"/>
                <w:highlight w:val="none"/>
                <w:lang w:val="en-US"/>
              </w:rPr>
            </w:pPr>
            <w:r>
              <w:rPr>
                <w:rFonts w:hint="default" w:ascii="仿宋_GB2312" w:hAnsi="仿宋" w:eastAsia="仿宋_GB2312" w:cs="宋体"/>
                <w:color w:val="auto"/>
                <w:sz w:val="22"/>
                <w:szCs w:val="22"/>
                <w:highlight w:val="none"/>
                <w:lang w:val="en-US" w:eastAsia="zh-CN"/>
              </w:rPr>
              <w:t>7.2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宋体" w:hAnsi="宋体" w:cs="宋体"/>
                <w:i w:val="0"/>
                <w:color w:val="auto"/>
                <w:kern w:val="0"/>
                <w:sz w:val="22"/>
                <w:szCs w:val="22"/>
                <w:highlight w:val="none"/>
                <w:u w:val="none"/>
                <w:lang w:val="en-US" w:eastAsia="zh-CN" w:bidi="ar"/>
              </w:rPr>
              <w:t>年中追加（未在项目支出体现）</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2023年月度调查失业率调查经费</w:t>
            </w:r>
          </w:p>
        </w:tc>
        <w:tc>
          <w:tcPr>
            <w:tcW w:w="2525" w:type="dxa"/>
            <w:vAlign w:val="bottom"/>
          </w:tcPr>
          <w:p>
            <w:pPr>
              <w:keepNext w:val="0"/>
              <w:keepLines w:val="0"/>
              <w:widowControl/>
              <w:suppressLineNumbers w:val="0"/>
              <w:jc w:val="right"/>
              <w:textAlignment w:val="center"/>
              <w:rPr>
                <w:rFonts w:hint="eastAsia" w:ascii="仿宋_GB2312" w:hAnsi="仿宋" w:eastAsia="仿宋_GB2312" w:cs="宋体"/>
                <w:color w:val="auto"/>
                <w:sz w:val="22"/>
                <w:szCs w:val="22"/>
                <w:highlight w:val="none"/>
                <w:lang w:val="en-US"/>
              </w:rPr>
            </w:pPr>
            <w:r>
              <w:rPr>
                <w:rFonts w:hint="default" w:ascii="仿宋_GB2312" w:hAnsi="仿宋" w:eastAsia="仿宋_GB2312" w:cs="宋体"/>
                <w:color w:val="auto"/>
                <w:sz w:val="22"/>
                <w:szCs w:val="22"/>
                <w:highlight w:val="none"/>
                <w:lang w:val="en-US" w:eastAsia="zh-CN"/>
              </w:rPr>
              <w:t>1.72</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宋体" w:hAnsi="宋体" w:cs="宋体"/>
                <w:i w:val="0"/>
                <w:color w:val="auto"/>
                <w:kern w:val="0"/>
                <w:sz w:val="22"/>
                <w:szCs w:val="22"/>
                <w:highlight w:val="none"/>
                <w:u w:val="none"/>
                <w:lang w:val="en-US" w:eastAsia="zh-CN" w:bidi="ar"/>
              </w:rPr>
              <w:t>年中追加（未在项目支出体现）</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统计局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244.5</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189.63</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54.87</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242.79</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99.3</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（一）指标一：统计报表上报次数</w:t>
      </w:r>
      <w:r>
        <w:rPr>
          <w:rStyle w:val="9"/>
          <w:rFonts w:hint="eastAsia" w:ascii="楷体" w:hAnsi="楷体" w:eastAsia="楷体" w:cs="楷体"/>
          <w:b/>
          <w:bCs w:val="0"/>
          <w:color w:val="auto"/>
          <w:spacing w:val="-4"/>
          <w:sz w:val="32"/>
          <w:szCs w:val="32"/>
          <w:highlight w:val="none"/>
          <w:lang w:val="en-US" w:eastAsia="zh-CN"/>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统计报表上报次数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大于等于120次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65次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本次评价实际完成值是117次，未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原因：年初预算不精准。措施：加强年初预算精准度。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（二）指标二：国民经济统计次数</w:t>
      </w:r>
      <w:r>
        <w:rPr>
          <w:rStyle w:val="9"/>
          <w:rFonts w:hint="eastAsia" w:ascii="楷体" w:hAnsi="楷体" w:eastAsia="楷体" w:cs="楷体"/>
          <w:b/>
          <w:bCs w:val="0"/>
          <w:color w:val="auto"/>
          <w:spacing w:val="-4"/>
          <w:sz w:val="32"/>
          <w:szCs w:val="32"/>
          <w:highlight w:val="none"/>
          <w:lang w:val="en-US" w:eastAsia="zh-CN"/>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国民经济统计次数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大于等于4次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2次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本次评价实际完成值是4次，未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原因：年初预算不精准。措施：加强年初预算精准度。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（三）指标三：综合统计次数</w:t>
      </w:r>
      <w:r>
        <w:rPr>
          <w:rStyle w:val="9"/>
          <w:rFonts w:hint="eastAsia" w:ascii="楷体" w:hAnsi="楷体" w:eastAsia="楷体" w:cs="楷体"/>
          <w:b/>
          <w:bCs w:val="0"/>
          <w:color w:val="auto"/>
          <w:spacing w:val="-4"/>
          <w:sz w:val="32"/>
          <w:szCs w:val="32"/>
          <w:highlight w:val="none"/>
          <w:lang w:val="en-US" w:eastAsia="zh-CN"/>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综合统计次数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大于等于12次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6次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本次评价实际完成值是11次，</w:t>
      </w:r>
      <w:r>
        <w:rPr>
          <w:rFonts w:hint="eastAsia" w:ascii="仿宋_GB2312" w:hAnsi="仿宋" w:eastAsia="仿宋_GB2312"/>
          <w:color w:val="auto"/>
          <w:sz w:val="32"/>
          <w:szCs w:val="32"/>
          <w:highlight w:val="none"/>
        </w:rPr>
        <w:t>未达到预期目标。</w:t>
      </w:r>
      <w:r>
        <w:rPr>
          <w:rFonts w:hint="eastAsia" w:ascii="仿宋_GB2312" w:hAnsi="仿宋" w:eastAsia="仿宋_GB2312"/>
          <w:color w:val="auto"/>
          <w:sz w:val="32"/>
          <w:szCs w:val="32"/>
          <w:highlight w:val="none"/>
          <w:lang w:val="en-US" w:eastAsia="zh-CN"/>
        </w:rPr>
        <w:t>原因：年初预算不精准。措施：加强年初预算精准度。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（四）指标四：工业统计次数</w:t>
      </w:r>
      <w:r>
        <w:rPr>
          <w:rStyle w:val="9"/>
          <w:rFonts w:hint="eastAsia" w:ascii="楷体" w:hAnsi="楷体" w:eastAsia="楷体" w:cs="楷体"/>
          <w:b/>
          <w:bCs w:val="0"/>
          <w:color w:val="auto"/>
          <w:spacing w:val="-4"/>
          <w:sz w:val="32"/>
          <w:szCs w:val="32"/>
          <w:highlight w:val="none"/>
          <w:lang w:val="en-US" w:eastAsia="zh-CN"/>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工业统计次数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大于等于10次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5次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本次评价实际完成值是10次，</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（五）指标五：贸易统计次数</w:t>
      </w:r>
      <w:r>
        <w:rPr>
          <w:rStyle w:val="9"/>
          <w:rFonts w:hint="eastAsia" w:ascii="楷体" w:hAnsi="楷体" w:eastAsia="楷体" w:cs="楷体"/>
          <w:b/>
          <w:bCs w:val="0"/>
          <w:color w:val="auto"/>
          <w:spacing w:val="-4"/>
          <w:sz w:val="32"/>
          <w:szCs w:val="32"/>
          <w:highlight w:val="none"/>
          <w:lang w:val="en-US" w:eastAsia="zh-CN"/>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贸易统计次数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大于等于10次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6次</w:t>
      </w:r>
      <w:r>
        <w:rPr>
          <w:rFonts w:hint="eastAsia" w:ascii="仿宋_GB2312" w:hAnsi="仿宋" w:eastAsia="仿宋_GB2312"/>
          <w:color w:val="auto"/>
          <w:sz w:val="32"/>
          <w:szCs w:val="32"/>
          <w:highlight w:val="none"/>
        </w:rPr>
        <w:t>，</w:t>
      </w:r>
      <w:r>
        <w:rPr>
          <w:rFonts w:hint="eastAsia" w:ascii="仿宋_GB2312" w:hAnsi="仿宋" w:eastAsia="仿宋_GB2312"/>
          <w:color w:val="auto"/>
          <w:sz w:val="32"/>
          <w:szCs w:val="32"/>
          <w:highlight w:val="none"/>
          <w:lang w:val="en-US" w:eastAsia="zh-CN"/>
        </w:rPr>
        <w:t>原因：年初预算不精准。措施：加强年初预算精准度。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（六）指标六：数据核查覆盖率</w:t>
      </w:r>
      <w:r>
        <w:rPr>
          <w:rStyle w:val="9"/>
          <w:rFonts w:hint="eastAsia" w:ascii="楷体" w:hAnsi="楷体" w:eastAsia="楷体" w:cs="楷体"/>
          <w:b/>
          <w:bCs w:val="0"/>
          <w:color w:val="auto"/>
          <w:spacing w:val="-4"/>
          <w:sz w:val="32"/>
          <w:szCs w:val="32"/>
          <w:highlight w:val="none"/>
          <w:lang w:val="en-US" w:eastAsia="zh-CN"/>
        </w:rPr>
        <w:tab/>
      </w:r>
    </w:p>
    <w:p>
      <w:pPr>
        <w:spacing w:line="540" w:lineRule="exact"/>
        <w:ind w:firstLine="564" w:firstLineChars="181"/>
        <w:rPr>
          <w:rFonts w:hint="default" w:ascii="仿宋_GB2312" w:hAnsi="仿宋" w:eastAsia="仿宋_GB2312"/>
          <w:color w:val="auto"/>
          <w:sz w:val="32"/>
          <w:szCs w:val="32"/>
          <w:highlight w:val="none"/>
          <w:lang w:val="en-US" w:eastAsia="zh-CN"/>
        </w:rPr>
      </w:pPr>
      <w:r>
        <w:rPr>
          <w:rStyle w:val="9"/>
          <w:rFonts w:hint="eastAsia" w:ascii="仿宋_GB2312" w:hAnsi="楷体" w:eastAsia="仿宋_GB2312" w:cs="Times New Roman"/>
          <w:b w:val="0"/>
          <w:color w:val="auto"/>
          <w:spacing w:val="-4"/>
          <w:sz w:val="32"/>
          <w:szCs w:val="32"/>
          <w:highlight w:val="none"/>
          <w:lang w:val="en-US" w:eastAsia="zh-CN"/>
        </w:rPr>
        <w:t>数据核查覆盖率，</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2023年度部门整体支出绩效自评综合得分98.28分，评价结果为“优”。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hint="eastAsia" w:ascii="仿宋_GB2312" w:hAnsi="仿宋" w:eastAsia="仿宋_GB2312" w:cs="仿宋"/>
          <w:color w:val="auto"/>
          <w:spacing w:val="-4"/>
          <w:sz w:val="32"/>
          <w:szCs w:val="32"/>
          <w:highlight w:val="none"/>
          <w:lang w:eastAsia="zh-CN"/>
        </w:rPr>
      </w:pPr>
      <w:r>
        <w:rPr>
          <w:rFonts w:ascii="仿宋_GB2312" w:hAnsi="仿宋" w:eastAsia="仿宋_GB2312" w:cs="仿宋"/>
          <w:color w:val="auto"/>
          <w:spacing w:val="-4"/>
          <w:sz w:val="32"/>
          <w:szCs w:val="32"/>
          <w:highlight w:val="none"/>
        </w:rPr>
        <w:t>对个别项目资金使用方面预算不够细致，出现实际支出数</w:t>
      </w:r>
      <w:r>
        <w:rPr>
          <w:rFonts w:hint="eastAsia" w:ascii="仿宋_GB2312" w:hAnsi="仿宋" w:eastAsia="仿宋_GB2312" w:cs="仿宋"/>
          <w:color w:val="auto"/>
          <w:spacing w:val="-4"/>
          <w:sz w:val="32"/>
          <w:szCs w:val="32"/>
          <w:highlight w:val="none"/>
          <w:lang w:val="en-US" w:eastAsia="zh-CN"/>
        </w:rPr>
        <w:t>少于</w:t>
      </w:r>
      <w:r>
        <w:rPr>
          <w:rFonts w:ascii="仿宋_GB2312" w:hAnsi="仿宋" w:eastAsia="仿宋_GB2312" w:cs="仿宋"/>
          <w:color w:val="auto"/>
          <w:spacing w:val="-4"/>
          <w:sz w:val="32"/>
          <w:szCs w:val="32"/>
          <w:highlight w:val="none"/>
        </w:rPr>
        <w:t>预算申报数</w:t>
      </w:r>
      <w:r>
        <w:rPr>
          <w:rFonts w:hint="eastAsia" w:ascii="仿宋_GB2312" w:hAnsi="仿宋" w:eastAsia="仿宋_GB2312" w:cs="仿宋"/>
          <w:color w:val="auto"/>
          <w:spacing w:val="-4"/>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3D6773B"/>
    <w:rsid w:val="06696209"/>
    <w:rsid w:val="08CC471F"/>
    <w:rsid w:val="0B6F48AA"/>
    <w:rsid w:val="0D047EFD"/>
    <w:rsid w:val="0D1922F1"/>
    <w:rsid w:val="0E433B7E"/>
    <w:rsid w:val="0E737D65"/>
    <w:rsid w:val="10DF6E84"/>
    <w:rsid w:val="12D07449"/>
    <w:rsid w:val="1438599A"/>
    <w:rsid w:val="14F27B7B"/>
    <w:rsid w:val="17F72A1E"/>
    <w:rsid w:val="189E58C4"/>
    <w:rsid w:val="197406AD"/>
    <w:rsid w:val="19F6744F"/>
    <w:rsid w:val="1D073223"/>
    <w:rsid w:val="1D95187B"/>
    <w:rsid w:val="1E3158B6"/>
    <w:rsid w:val="1FBB36D6"/>
    <w:rsid w:val="200F4073"/>
    <w:rsid w:val="20F139DA"/>
    <w:rsid w:val="229016F2"/>
    <w:rsid w:val="2395589A"/>
    <w:rsid w:val="24125C6E"/>
    <w:rsid w:val="24B86128"/>
    <w:rsid w:val="25803CFA"/>
    <w:rsid w:val="287F0C77"/>
    <w:rsid w:val="28F109D1"/>
    <w:rsid w:val="291F3644"/>
    <w:rsid w:val="293575D1"/>
    <w:rsid w:val="297E73B4"/>
    <w:rsid w:val="2B4341EB"/>
    <w:rsid w:val="2C532EE0"/>
    <w:rsid w:val="2DB5311A"/>
    <w:rsid w:val="2DE92A48"/>
    <w:rsid w:val="2E913C19"/>
    <w:rsid w:val="2EF80FF5"/>
    <w:rsid w:val="307179D7"/>
    <w:rsid w:val="31153648"/>
    <w:rsid w:val="311D1738"/>
    <w:rsid w:val="31727A3A"/>
    <w:rsid w:val="33D53037"/>
    <w:rsid w:val="34092A02"/>
    <w:rsid w:val="34302AA9"/>
    <w:rsid w:val="350E12DF"/>
    <w:rsid w:val="35274E80"/>
    <w:rsid w:val="35CF78D1"/>
    <w:rsid w:val="37213B34"/>
    <w:rsid w:val="37B94A97"/>
    <w:rsid w:val="39C82154"/>
    <w:rsid w:val="3BBF2075"/>
    <w:rsid w:val="3D5157E3"/>
    <w:rsid w:val="3D687767"/>
    <w:rsid w:val="3FD249C9"/>
    <w:rsid w:val="3FD35BB0"/>
    <w:rsid w:val="42C512A0"/>
    <w:rsid w:val="433C35D6"/>
    <w:rsid w:val="44081B00"/>
    <w:rsid w:val="44202481"/>
    <w:rsid w:val="455525A3"/>
    <w:rsid w:val="4C2732AC"/>
    <w:rsid w:val="4CE26E4A"/>
    <w:rsid w:val="4D5352D2"/>
    <w:rsid w:val="4DDE4AA8"/>
    <w:rsid w:val="4F506DA6"/>
    <w:rsid w:val="4FFB4E33"/>
    <w:rsid w:val="50966E31"/>
    <w:rsid w:val="50C82016"/>
    <w:rsid w:val="51C70EA9"/>
    <w:rsid w:val="52DD0612"/>
    <w:rsid w:val="53B535AD"/>
    <w:rsid w:val="53F81086"/>
    <w:rsid w:val="54942087"/>
    <w:rsid w:val="54F842B6"/>
    <w:rsid w:val="55525A1B"/>
    <w:rsid w:val="58CB188F"/>
    <w:rsid w:val="58FB7FD2"/>
    <w:rsid w:val="59F1707F"/>
    <w:rsid w:val="5B9757C7"/>
    <w:rsid w:val="5EB12FFC"/>
    <w:rsid w:val="5FCF4505"/>
    <w:rsid w:val="60421545"/>
    <w:rsid w:val="60810646"/>
    <w:rsid w:val="60A001E1"/>
    <w:rsid w:val="61533F93"/>
    <w:rsid w:val="646F3C88"/>
    <w:rsid w:val="64A96B01"/>
    <w:rsid w:val="64F5745B"/>
    <w:rsid w:val="656071F2"/>
    <w:rsid w:val="67163E36"/>
    <w:rsid w:val="67A760D9"/>
    <w:rsid w:val="6BF1756B"/>
    <w:rsid w:val="6C562222"/>
    <w:rsid w:val="6F5E1AA3"/>
    <w:rsid w:val="6FC057CF"/>
    <w:rsid w:val="73927597"/>
    <w:rsid w:val="74814225"/>
    <w:rsid w:val="75E10FF1"/>
    <w:rsid w:val="769A4E05"/>
    <w:rsid w:val="7B5A04B1"/>
    <w:rsid w:val="7C5764FD"/>
    <w:rsid w:val="7C8E7E47"/>
    <w:rsid w:val="7F200B83"/>
    <w:rsid w:val="7F5D585A"/>
    <w:rsid w:val="F56E1A8F"/>
    <w:rsid w:val="FD65BC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57</Words>
  <Characters>328</Characters>
  <Lines>2</Lines>
  <Paragraphs>1</Paragraphs>
  <TotalTime>5</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2024-10-11T19:41:48Z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