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民丰县工业园区管委会</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部门单位名称（公章）：民丰县工业园区管委会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（1）根据园区总体规划编制园区详细规划和经济、社会发展计划，经批准后组织实施；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（2）制定园区的各项管理制度和服务工作规定，为园区创造良好的投资环境</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lang w:eastAsia="zh-CN"/>
        </w:rPr>
      </w:pPr>
      <w:r>
        <w:rPr>
          <w:rFonts w:hint="eastAsia" w:ascii="仿宋_GB2312" w:hAnsi="宋体" w:eastAsia="仿宋_GB2312"/>
          <w:b w:val="0"/>
          <w:bCs/>
          <w:sz w:val="32"/>
          <w:szCs w:val="32"/>
        </w:rPr>
        <w:t>（3）按规定权限审批或审核园区内的投资项目，并报有关部门备案或审批</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（4）统一规划、管理入园项目和园区内的基础设施及公共设施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负责园区的人事、劳动、国有资产、环境保护、社会治安等具体事务管理工作。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）承担</w:t>
      </w:r>
      <w:r>
        <w:rPr>
          <w:rFonts w:hint="eastAsia" w:ascii="仿宋_GB2312" w:hAnsi="宋体" w:eastAsia="仿宋_GB2312"/>
          <w:b w:val="0"/>
          <w:bCs/>
          <w:sz w:val="32"/>
          <w:szCs w:val="32"/>
          <w:lang w:eastAsia="zh-CN"/>
        </w:rPr>
        <w:t>县委、县政府</w:t>
      </w:r>
      <w:r>
        <w:rPr>
          <w:rFonts w:hint="eastAsia" w:ascii="仿宋_GB2312" w:hAnsi="宋体" w:eastAsia="仿宋_GB2312"/>
          <w:b w:val="0"/>
          <w:bCs/>
          <w:sz w:val="32"/>
          <w:szCs w:val="32"/>
        </w:rPr>
        <w:t>授权管理和交办</w:t>
      </w:r>
      <w:r>
        <w:rPr>
          <w:rFonts w:hint="eastAsia" w:ascii="仿宋_GB2312" w:hAnsi="宋体" w:eastAsia="仿宋_GB2312"/>
          <w:b w:val="0"/>
          <w:bCs/>
          <w:sz w:val="32"/>
          <w:szCs w:val="32"/>
          <w:lang w:eastAsia="zh-CN"/>
        </w:rPr>
        <w:t>的其他工作。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sz w:val="32"/>
          <w:szCs w:val="32"/>
        </w:rPr>
        <w:t>民丰县工业园区管理委员会编制数16人，实有人数16人，在职人数16人，没有离退休人员，都是事业编制。</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1）贯彻执行党和国家有关农业的方针、政策、对固定资产投资项目进行管理，部门履职干部数量15人，服务园区企业数量不少于24个，新增规上企业1家，提高了当地的就业率，园区综合服务能力提升，促进县域经济发展，全面完成园区经济发展等各项工作任务；</w:t>
      </w:r>
    </w:p>
    <w:p>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（2）保证单位日常工作运行经费提供良好履职基础，使各局室有明确的工作任务，加强队伍建设，干部作风严谨务实，增强服务意识，提升了园区服务效能及公共服务质量和水平；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3）积极对接联系发改、财政、住建等部门，加大谋划储备园区基础设施项目力度，一方面围绕现状基础设施补齐短板，另一方面围绕化工园区认定需要的建设，依据规划编制情况，提早储备项目，如污水处理厂、自来水厂或水质净化厂、双电源供电变配电站、固废填埋场、事故应急池、公共管廊、集中供热设施等。</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449.03万元，预算数（调整后）1047.01万元，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899.85万元，执行率85.94%。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22.3万元，预算数（调整后）0万元，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工业园区管委会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445.73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421.44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24.29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445.73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79.51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工业园区管委会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601.28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545.43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90.71</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87.31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36.05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513.97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505.38</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工业园区管委会</w:t>
      </w:r>
      <w:r>
        <w:rPr>
          <w:rFonts w:hint="eastAsia" w:hAnsi="方正楷体简体"/>
          <w:color w:val="auto"/>
          <w:highlight w:val="none"/>
        </w:rPr>
        <w:t>项目支出共涉及</w:t>
      </w:r>
      <w:r>
        <w:rPr>
          <w:rFonts w:hint="eastAsia" w:hAnsi="方正楷体简体"/>
          <w:color w:val="auto"/>
          <w:highlight w:val="none"/>
          <w:lang w:val="en-US" w:eastAsia="zh-CN"/>
        </w:rPr>
        <w:t>13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物流园区冷链物流仓储设施二期建设项目初步设计费</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rPr>
            </w:pPr>
            <w:r>
              <w:rPr>
                <w:rFonts w:hint="eastAsia" w:ascii="宋体" w:hAnsi="宋体" w:eastAsia="宋体" w:cs="宋体"/>
                <w:i w:val="0"/>
                <w:color w:val="000000"/>
                <w:kern w:val="0"/>
                <w:sz w:val="22"/>
                <w:szCs w:val="22"/>
                <w:u w:val="none"/>
                <w:lang w:val="en-US" w:eastAsia="zh-CN" w:bidi="ar"/>
              </w:rPr>
              <w:t>55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工业园区机电院内绿化项目费</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147.32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园区基础设施配套供热系统设备款（燃气锅炉及组件）</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17.95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园区市政功能改造提升项目（污水处理厂）9.9%工程款</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70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园区清洁卫生管理和治理项目</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198.11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保障性住房建设项目设计费</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20.09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园区火车站绿化用水井电费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医疗垃圾运费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0.45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电费（包括南苑小区）</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员工协警干部伙食费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67.86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救护车油费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水电费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园区办公区域暖气费</w:t>
            </w:r>
          </w:p>
        </w:tc>
        <w:tc>
          <w:tcPr>
            <w:tcW w:w="2525" w:type="dxa"/>
            <w:vAlign w:val="bottom"/>
          </w:tcPr>
          <w:p>
            <w:pPr>
              <w:jc w:val="right"/>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工业园区管委会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445.73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421.44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24.29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445.73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79.51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（一）指标一：服务园区企业数量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服务园区企业数量</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大于等于24家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23家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本次评价实际完成值是24家，</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（二）指标二：新增规上企业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新增规上企业，预期指标是</w:t>
      </w:r>
      <w:r>
        <w:rPr>
          <w:rFonts w:hint="eastAsia" w:ascii="仿宋_GB2312" w:hAnsi="仿宋" w:eastAsia="仿宋_GB2312"/>
          <w:color w:val="auto"/>
          <w:sz w:val="32"/>
          <w:szCs w:val="32"/>
          <w:highlight w:val="none"/>
          <w:lang w:val="en-US" w:eastAsia="zh-CN"/>
        </w:rPr>
        <w:t>大于等于1家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（三）指标三：招商引资落地企业完成率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招商引资落地企业完成率，预期指标是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（四）指标四：招商引资落地企业完成率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招商引资落地企业完成率，预期指标是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2023年度部门整体支出绩效自评综合得分98.59分，评价结果为“优”。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53C376F"/>
    <w:rsid w:val="056B2C09"/>
    <w:rsid w:val="05CB6613"/>
    <w:rsid w:val="065340BF"/>
    <w:rsid w:val="06696209"/>
    <w:rsid w:val="08CC471F"/>
    <w:rsid w:val="0B6F48AA"/>
    <w:rsid w:val="0BC64CF0"/>
    <w:rsid w:val="0C1013EF"/>
    <w:rsid w:val="0D1922F1"/>
    <w:rsid w:val="0D9F0DF1"/>
    <w:rsid w:val="0E325CFD"/>
    <w:rsid w:val="0E737D65"/>
    <w:rsid w:val="10DF6E84"/>
    <w:rsid w:val="127423D4"/>
    <w:rsid w:val="12D07449"/>
    <w:rsid w:val="1424210B"/>
    <w:rsid w:val="1438599A"/>
    <w:rsid w:val="14F27B7B"/>
    <w:rsid w:val="189E58C4"/>
    <w:rsid w:val="197406AD"/>
    <w:rsid w:val="19F6744F"/>
    <w:rsid w:val="19FE0A5D"/>
    <w:rsid w:val="1D073223"/>
    <w:rsid w:val="1D95187B"/>
    <w:rsid w:val="1DD302E5"/>
    <w:rsid w:val="1FBB36D6"/>
    <w:rsid w:val="200F4073"/>
    <w:rsid w:val="229016F2"/>
    <w:rsid w:val="236F5373"/>
    <w:rsid w:val="23820713"/>
    <w:rsid w:val="24B86128"/>
    <w:rsid w:val="28F109D1"/>
    <w:rsid w:val="291F3644"/>
    <w:rsid w:val="2AF77D81"/>
    <w:rsid w:val="2B043BBD"/>
    <w:rsid w:val="2B4341EB"/>
    <w:rsid w:val="2DE92A48"/>
    <w:rsid w:val="2E913C19"/>
    <w:rsid w:val="2EE7129F"/>
    <w:rsid w:val="2EF80FF5"/>
    <w:rsid w:val="307179D7"/>
    <w:rsid w:val="30A967BD"/>
    <w:rsid w:val="30C71428"/>
    <w:rsid w:val="31153648"/>
    <w:rsid w:val="311D1738"/>
    <w:rsid w:val="32650FE8"/>
    <w:rsid w:val="32F63DCB"/>
    <w:rsid w:val="33D53037"/>
    <w:rsid w:val="350E12DF"/>
    <w:rsid w:val="35274E80"/>
    <w:rsid w:val="35446943"/>
    <w:rsid w:val="369B1AFE"/>
    <w:rsid w:val="37213B34"/>
    <w:rsid w:val="38A61EBD"/>
    <w:rsid w:val="3ABA302D"/>
    <w:rsid w:val="3BBF2075"/>
    <w:rsid w:val="3EAB714E"/>
    <w:rsid w:val="3FD249C9"/>
    <w:rsid w:val="3FD35BB0"/>
    <w:rsid w:val="433C35D6"/>
    <w:rsid w:val="44081B00"/>
    <w:rsid w:val="44202481"/>
    <w:rsid w:val="455525A3"/>
    <w:rsid w:val="4A474315"/>
    <w:rsid w:val="4CE26E4A"/>
    <w:rsid w:val="4D5352D2"/>
    <w:rsid w:val="4F245112"/>
    <w:rsid w:val="50966E31"/>
    <w:rsid w:val="51C70EA9"/>
    <w:rsid w:val="51EC08C3"/>
    <w:rsid w:val="522B404B"/>
    <w:rsid w:val="529655C4"/>
    <w:rsid w:val="52DD0612"/>
    <w:rsid w:val="53B535AD"/>
    <w:rsid w:val="54942087"/>
    <w:rsid w:val="54F842B6"/>
    <w:rsid w:val="55525A1B"/>
    <w:rsid w:val="58CB188F"/>
    <w:rsid w:val="58FB7FD2"/>
    <w:rsid w:val="59315140"/>
    <w:rsid w:val="5AB961C8"/>
    <w:rsid w:val="5B9757C7"/>
    <w:rsid w:val="5BD87229"/>
    <w:rsid w:val="5C20044C"/>
    <w:rsid w:val="5C9E123E"/>
    <w:rsid w:val="5EB12FFC"/>
    <w:rsid w:val="5FCF4505"/>
    <w:rsid w:val="60810646"/>
    <w:rsid w:val="60A001E1"/>
    <w:rsid w:val="61533F93"/>
    <w:rsid w:val="64F5745B"/>
    <w:rsid w:val="656071F2"/>
    <w:rsid w:val="668A5953"/>
    <w:rsid w:val="67163E36"/>
    <w:rsid w:val="67716A0B"/>
    <w:rsid w:val="67A46ABB"/>
    <w:rsid w:val="67A760D9"/>
    <w:rsid w:val="6901091A"/>
    <w:rsid w:val="697650C9"/>
    <w:rsid w:val="6BF1756B"/>
    <w:rsid w:val="6F5E1AA3"/>
    <w:rsid w:val="6FC63036"/>
    <w:rsid w:val="706B2D81"/>
    <w:rsid w:val="70AD31F0"/>
    <w:rsid w:val="734232FD"/>
    <w:rsid w:val="73780C5F"/>
    <w:rsid w:val="75E10FF1"/>
    <w:rsid w:val="76434FBA"/>
    <w:rsid w:val="764B3419"/>
    <w:rsid w:val="769A4E05"/>
    <w:rsid w:val="7B5A04B1"/>
    <w:rsid w:val="7C5764FD"/>
    <w:rsid w:val="7DE75F45"/>
    <w:rsid w:val="7F200B83"/>
    <w:rsid w:val="7F5D585A"/>
    <w:rsid w:val="AFFD32A3"/>
    <w:rsid w:val="FFFD4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