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民丰县技工学校</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部门单位名称（公章）：民丰县技工学校</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56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技工学校</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职业教育规律，牢牢把握职业教育正确发展方向，完善职业教育体制机制。主要职责是：坚持四项基本原则，认真贯彻执行党的路线、方针和政策；坚持正确的办学方向；认真执行教委颁发的职业中学教育大纲</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认真完成中等职业教育的任务，培养与中国社会主义现代化建设要求相适应，德、智、体、美全面发展，具有综合职业能力，在生产、服务一线工作的高素质劳动者和技能型人才，为经济高质量发展培养提供人力资源支持</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积极落实民族地区教育发展的政策，维护民族地区社会稳定和发展民族教育。</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民丰县职业技术学校无下属预算单位，编制数37人，实有人数52人，其中，在职52人，退休0人</w:t>
      </w:r>
      <w:r>
        <w:rPr>
          <w:rFonts w:hint="eastAsia" w:ascii="仿宋_GB2312" w:hAnsi="仿宋_GB2312" w:eastAsia="仿宋_GB2312" w:cs="仿宋_GB2312"/>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9"/>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（1）苗木采购</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新建绿化面积14000平方米，绿化水管铺设面积14000平方米，乔木种植数量1026棵，灌木球状造型树数量286棵，矮灌木数量122000棵，项目建设期限2023年。通过项目实施，有效创造舒适安逸的学习、工作、生活环境，促进身体健康等多方面的功能。</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生均公用经费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主要用于保障职业高中的教育教学工作正常开展，学生人数91名。通过项目的实施，有效保障学校教育教学工作正常开展，加大职业教育经费保障力度，促进职业教育稳步发展。</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2022年教育非直达资金</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技工免住宿和教材费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和地财教[2022]22号</w:t>
      </w:r>
      <w:r>
        <w:rPr>
          <w:rFonts w:hint="eastAsia" w:ascii="仿宋" w:hAnsi="仿宋" w:eastAsia="仿宋"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w:t>
      </w:r>
      <w:r>
        <w:rPr>
          <w:rFonts w:hint="eastAsia" w:ascii="仿宋" w:hAnsi="仿宋" w:eastAsia="仿宋" w:cs="Times New Roman"/>
          <w:bCs/>
          <w:color w:val="auto"/>
          <w:sz w:val="32"/>
          <w:szCs w:val="32"/>
        </w:rPr>
        <w:t>主要用于保障补助教育学校1所，补助学生人数91人，免学费581.3元/人/年。补助覆盖率达到100%</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通过项目的实施，有效保障学校教育教学工作正常开展，促进教育稳步发展</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2022年教育非直达资金（技工学校生均公用经费）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主要用于保障技工学校的教育教学工作正常开展，学生人数91名</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通过项目的实施，有效保障学校教育教学工作正常开展，加大职业教育经费保障力度，促进职业教育稳步发展</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outlineLvl w:val="9"/>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2022自治区教育直达资金技工免学费（和地财教[2022]16号）</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主要用于职业技术学校补助学生人数9人，以2000元/人/年的标准进行助学金补助。补助覆盖率达到100%。通过此项目的实施，有效改善受补助学生生活情况，减轻学生家庭负担，提高学生学习热情</w:t>
      </w:r>
      <w:r>
        <w:rPr>
          <w:rFonts w:hint="eastAsia" w:ascii="仿宋" w:hAnsi="仿宋" w:eastAsia="仿宋" w:cs="Times New Roman"/>
          <w:bCs/>
          <w:color w:val="auto"/>
          <w:sz w:val="32"/>
          <w:szCs w:val="32"/>
          <w:lang w:val="en-US" w:eastAsia="zh-CN"/>
        </w:rPr>
        <w:t>。</w:t>
      </w:r>
    </w:p>
    <w:p>
      <w:pPr>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outlineLvl w:val="9"/>
        <w:rPr>
          <w:rFonts w:hint="eastAsia" w:ascii="仿宋" w:hAnsi="仿宋" w:eastAsia="仿宋" w:cs="Times New Roman"/>
          <w:bCs/>
          <w:color w:val="auto"/>
          <w:sz w:val="32"/>
          <w:szCs w:val="32"/>
          <w:lang w:val="en-US" w:eastAsia="zh-CN"/>
        </w:rPr>
      </w:pPr>
      <w:r>
        <w:rPr>
          <w:rFonts w:hint="eastAsia" w:ascii="仿宋_GB2312" w:hAnsi="仿宋" w:eastAsia="仿宋_GB2312" w:cs="Times New Roman"/>
          <w:b w:val="0"/>
          <w:bCs/>
          <w:color w:val="auto"/>
          <w:kern w:val="2"/>
          <w:sz w:val="32"/>
          <w:szCs w:val="32"/>
          <w:lang w:val="en-US" w:eastAsia="zh-CN" w:bidi="ar-SA"/>
        </w:rPr>
        <w:t>（6）2022年学生资助补助直达资金（技工学校免学费）：</w:t>
      </w:r>
      <w:r>
        <w:rPr>
          <w:rFonts w:hint="eastAsia" w:ascii="仿宋" w:hAnsi="仿宋" w:eastAsia="仿宋" w:cs="Times New Roman"/>
          <w:bCs/>
          <w:color w:val="auto"/>
          <w:sz w:val="32"/>
          <w:szCs w:val="32"/>
        </w:rPr>
        <w:t>主要用于保障补助高级中学教育学校1所，补助学生人数1人，免学费1012元/人/年。补助覆盖率达到100%</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通过项目的实施，有效保障学校教育教学工作正常开展，促进教育稳步发展</w:t>
      </w:r>
      <w:r>
        <w:rPr>
          <w:rFonts w:hint="eastAsia" w:ascii="仿宋" w:hAnsi="仿宋" w:eastAsia="仿宋" w:cs="Times New Roman"/>
          <w:bCs/>
          <w:color w:val="auto"/>
          <w:sz w:val="32"/>
          <w:szCs w:val="32"/>
          <w:lang w:val="en-US" w:eastAsia="zh-CN"/>
        </w:rPr>
        <w:t>。</w:t>
      </w:r>
    </w:p>
    <w:p>
      <w:pPr>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outlineLvl w:val="9"/>
        <w:rPr>
          <w:rFonts w:hint="eastAsia"/>
        </w:rPr>
      </w:pPr>
      <w:r>
        <w:rPr>
          <w:rFonts w:hint="eastAsia" w:ascii="仿宋_GB2312" w:hAnsi="仿宋" w:eastAsia="仿宋_GB2312" w:cs="Times New Roman"/>
          <w:b w:val="0"/>
          <w:bCs/>
          <w:color w:val="auto"/>
          <w:kern w:val="2"/>
          <w:sz w:val="32"/>
          <w:szCs w:val="32"/>
          <w:lang w:val="en-US" w:eastAsia="zh-CN" w:bidi="ar-SA"/>
        </w:rPr>
        <w:t>（7）2022年新疆西藏等地区教育特殊补助资金（技工学校免教材费）：</w:t>
      </w:r>
      <w:r>
        <w:rPr>
          <w:rFonts w:hint="eastAsia" w:ascii="仿宋" w:hAnsi="仿宋" w:eastAsia="仿宋" w:cs="Times New Roman"/>
          <w:bCs/>
          <w:color w:val="auto"/>
          <w:sz w:val="32"/>
          <w:szCs w:val="32"/>
        </w:rPr>
        <w:t>主要用于技工学校96名学生。通过此项目的实施，有效改善受补助学生生活情况，减轻学生家庭负担，提高学生学习热情</w:t>
      </w:r>
      <w:r>
        <w:rPr>
          <w:rFonts w:hint="eastAsia" w:ascii="仿宋" w:hAnsi="仿宋" w:eastAsia="仿宋" w:cs="Times New Roman"/>
          <w:bCs/>
          <w:color w:val="auto"/>
          <w:sz w:val="32"/>
          <w:szCs w:val="32"/>
          <w:lang w:val="en-US"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1098.19万元，预算数（调整后）1229.91万元，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1220.81万元，执行率99.26%。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13.07万元，预算数（调整后）13.07万元，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11.11万元，执行率85%。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技工学校</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998.25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998.25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998.25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技工学校</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231.66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222.56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96.07</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9.1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222.56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222.56</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13.07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11.11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技工学校</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苗木采购</w:t>
            </w:r>
          </w:p>
        </w:tc>
        <w:tc>
          <w:tcPr>
            <w:tcW w:w="2600" w:type="dxa"/>
            <w:vAlign w:val="bottom"/>
          </w:tcPr>
          <w:p>
            <w:pPr>
              <w:jc w:val="right"/>
              <w:rPr>
                <w:rFonts w:hint="default" w:ascii="仿宋_GB2312" w:hAnsi="仿宋" w:eastAsia="仿宋_GB2312" w:cs="宋体"/>
                <w:color w:val="auto"/>
                <w:sz w:val="32"/>
                <w:szCs w:val="32"/>
                <w:highlight w:val="none"/>
                <w:lang w:val="en-US" w:eastAsia="zh-CN"/>
              </w:rPr>
            </w:pPr>
            <w:r>
              <w:rPr>
                <w:rFonts w:hint="eastAsia" w:ascii="Calibri" w:hAnsi="Calibri" w:eastAsia="宋体" w:cs="Calibri"/>
                <w:i w:val="0"/>
                <w:color w:val="000000"/>
                <w:kern w:val="0"/>
                <w:sz w:val="24"/>
                <w:szCs w:val="24"/>
                <w:u w:val="none"/>
                <w:lang w:val="en-US" w:eastAsia="zh-CN" w:bidi="ar"/>
              </w:rPr>
              <w:t>222.56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生均公用经费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9.1</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2022年学生资助补助直达资金（技工学校免学费）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2022年新疆西藏等地区教育特殊补助资金（技工学校免教材费）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2.41</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技工免住宿和教材费</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和地财教[2022]22号</w:t>
            </w:r>
            <w:r>
              <w:rPr>
                <w:rFonts w:hint="eastAsia" w:ascii="Calibri" w:hAnsi="Calibri" w:cs="Calibri"/>
                <w:i w:val="0"/>
                <w:color w:val="000000"/>
                <w:kern w:val="0"/>
                <w:sz w:val="24"/>
                <w:szCs w:val="24"/>
                <w:u w:val="none"/>
                <w:lang w:val="en-US" w:eastAsia="zh-CN" w:bidi="ar"/>
              </w:rPr>
              <w:t>）</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5.29</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2022年教育非直达资金（技工学校生均公用经费）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3.3</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2022自治区教育直达资金技工免学费（和地财教[2022]16号）</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1.97</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56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技工学校</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998.25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998.25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998.25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13.07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11.11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2022年学生资助补助直达资金（技工学校免学费）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2022年新疆西藏等地区教育特殊补助资金（技工学校免教材费）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2.41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0.88</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36.67%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技工免住宿和教材费</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和地财教[2022]22号</w:t>
            </w:r>
            <w:r>
              <w:rPr>
                <w:rFonts w:hint="eastAsia" w:ascii="Calibri" w:hAnsi="Calibri" w:cs="Calibri"/>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2022年教育非直达资金（技工学校生均公用经费）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2022自治区教育直达资金技工免学费（和地财教[2022]16号）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1.97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78.17%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13.07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11.11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85%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2022年新疆西藏等地区教育特殊补助资金（技工学校免教材费）</w:t>
      </w:r>
      <w:r>
        <w:rPr>
          <w:rFonts w:hint="eastAsia" w:ascii="仿宋_GB2312" w:hAnsi="方正楷体简体" w:eastAsia="仿宋_GB2312" w:cs="宋体"/>
          <w:color w:val="auto"/>
          <w:sz w:val="32"/>
          <w:szCs w:val="32"/>
          <w:highlight w:val="none"/>
          <w:lang w:val="en-US" w:eastAsia="zh-CN"/>
        </w:rPr>
        <w:t>：人数按实际需求存在变动，人数减少，加强年初预算精准度；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b/>
          <w:color w:val="auto"/>
          <w:sz w:val="32"/>
          <w:szCs w:val="32"/>
          <w:highlight w:val="none"/>
          <w:lang w:bidi="ar"/>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2022自治区教育直达资金技工免学费（和地财教[2022]16号）</w:t>
      </w:r>
      <w:r>
        <w:rPr>
          <w:rFonts w:hint="eastAsia" w:ascii="仿宋_GB2312" w:hAnsi="方正楷体简体" w:eastAsia="仿宋_GB2312" w:cs="宋体"/>
          <w:color w:val="auto"/>
          <w:sz w:val="32"/>
          <w:szCs w:val="32"/>
          <w:highlight w:val="none"/>
          <w:lang w:val="en-US" w:eastAsia="zh-CN"/>
        </w:rPr>
        <w:t>：该项目年初预算不精准，加强年初预算精准度；</w:t>
      </w:r>
    </w:p>
    <w:p>
      <w:pPr>
        <w:numPr>
          <w:ilvl w:val="0"/>
          <w:numId w:val="1"/>
        </w:numPr>
        <w:snapToGrid w:val="0"/>
        <w:spacing w:line="540" w:lineRule="exact"/>
        <w:ind w:left="156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享受资助补助政策学生数，预期指标是大于等于96人，年中绩效运行监控完成值是96人，本次评价实际完成值是91人，未达到预期目标。原因：人数按实际需求存在变动，人数减少。措施：加强年初预算精准度。</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（二）指标二：全年培训任务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全年培训任务，预期指标是</w:t>
      </w:r>
      <w:r>
        <w:rPr>
          <w:rFonts w:hint="eastAsia" w:ascii="仿宋_GB2312" w:hAnsi="仿宋" w:eastAsia="仿宋_GB2312"/>
          <w:color w:val="auto"/>
          <w:sz w:val="32"/>
          <w:szCs w:val="32"/>
          <w:highlight w:val="none"/>
          <w:lang w:val="en-US" w:eastAsia="zh-CN"/>
        </w:rPr>
        <w:t>大于等于1800人</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1454人</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本次评价实际完成值是2500人，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（三）指标三：开设专业数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开设专业数，预期指标是</w:t>
      </w:r>
      <w:r>
        <w:rPr>
          <w:rFonts w:hint="eastAsia" w:ascii="仿宋_GB2312" w:hAnsi="仿宋" w:eastAsia="仿宋_GB2312"/>
          <w:color w:val="auto"/>
          <w:sz w:val="32"/>
          <w:szCs w:val="32"/>
          <w:highlight w:val="none"/>
          <w:lang w:val="en-US" w:eastAsia="zh-CN"/>
        </w:rPr>
        <w:t>大于等于14项</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14项</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本次评价实际完成值是19项，</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（四）指标四：学生结业率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学生结业率，预期指标是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本次评价实际完成值是99%，</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（五）指标五：结业学生就业率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大于等于93%</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93</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（六）指标六：受益学生满意率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eastAsia="zh-CN"/>
        </w:rPr>
        <w:t>。</w:t>
      </w:r>
    </w:p>
    <w:p>
      <w:pPr>
        <w:numPr>
          <w:ilvl w:val="0"/>
          <w:numId w:val="1"/>
        </w:numPr>
        <w:snapToGrid w:val="0"/>
        <w:spacing w:line="540" w:lineRule="exact"/>
        <w:ind w:left="156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2023年度部门整体支出绩效自评综合得分99.13分，评价结果为“优”。</w:t>
      </w:r>
    </w:p>
    <w:p>
      <w:pPr>
        <w:numPr>
          <w:ilvl w:val="0"/>
          <w:numId w:val="1"/>
        </w:numPr>
        <w:snapToGrid w:val="0"/>
        <w:spacing w:line="540" w:lineRule="exact"/>
        <w:ind w:left="156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190"/>
      </w:pPr>
    </w:lvl>
  </w:abstractNum>
  <w:abstractNum w:abstractNumId="1">
    <w:nsid w:val="69703BB8"/>
    <w:multiLevelType w:val="multilevel"/>
    <w:tmpl w:val="69703BB8"/>
    <w:lvl w:ilvl="0" w:tentative="0">
      <w:start w:val="1"/>
      <w:numFmt w:val="japaneseCounting"/>
      <w:lvlText w:val="%1、"/>
      <w:lvlJc w:val="left"/>
      <w:pPr>
        <w:ind w:left="156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1F2F4F"/>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54023"/>
    <w:rsid w:val="00E8616A"/>
    <w:rsid w:val="00EB3604"/>
    <w:rsid w:val="01057E1B"/>
    <w:rsid w:val="01A65187"/>
    <w:rsid w:val="01CB71C8"/>
    <w:rsid w:val="01FB7575"/>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E83C87"/>
    <w:rsid w:val="05FF16D0"/>
    <w:rsid w:val="065340BF"/>
    <w:rsid w:val="06696209"/>
    <w:rsid w:val="071976DD"/>
    <w:rsid w:val="07505305"/>
    <w:rsid w:val="07624743"/>
    <w:rsid w:val="079B1AB6"/>
    <w:rsid w:val="080915D5"/>
    <w:rsid w:val="08CC471F"/>
    <w:rsid w:val="098242D9"/>
    <w:rsid w:val="09BB33DC"/>
    <w:rsid w:val="0A417E47"/>
    <w:rsid w:val="0A662AB3"/>
    <w:rsid w:val="0A86769F"/>
    <w:rsid w:val="0AFE5A2E"/>
    <w:rsid w:val="0B6F48AA"/>
    <w:rsid w:val="0BC64CF0"/>
    <w:rsid w:val="0BD52702"/>
    <w:rsid w:val="0C1013EF"/>
    <w:rsid w:val="0C354671"/>
    <w:rsid w:val="0C993046"/>
    <w:rsid w:val="0CB7795C"/>
    <w:rsid w:val="0CDC1928"/>
    <w:rsid w:val="0D19113A"/>
    <w:rsid w:val="0D1922F1"/>
    <w:rsid w:val="0D414C2B"/>
    <w:rsid w:val="0D9F0DF1"/>
    <w:rsid w:val="0DBD196E"/>
    <w:rsid w:val="0E325CFD"/>
    <w:rsid w:val="0E737D65"/>
    <w:rsid w:val="0F471127"/>
    <w:rsid w:val="0F764A1E"/>
    <w:rsid w:val="0FA5497F"/>
    <w:rsid w:val="10DF6E84"/>
    <w:rsid w:val="119055B4"/>
    <w:rsid w:val="11BC0931"/>
    <w:rsid w:val="11F017F5"/>
    <w:rsid w:val="120D1EEA"/>
    <w:rsid w:val="123F73AE"/>
    <w:rsid w:val="127423D4"/>
    <w:rsid w:val="12D07449"/>
    <w:rsid w:val="12E977B3"/>
    <w:rsid w:val="13072B53"/>
    <w:rsid w:val="13850B5F"/>
    <w:rsid w:val="141E6282"/>
    <w:rsid w:val="1438599A"/>
    <w:rsid w:val="146B3FA4"/>
    <w:rsid w:val="14775B53"/>
    <w:rsid w:val="14F27B7B"/>
    <w:rsid w:val="163A6974"/>
    <w:rsid w:val="164A115C"/>
    <w:rsid w:val="172267ED"/>
    <w:rsid w:val="18344297"/>
    <w:rsid w:val="18583B52"/>
    <w:rsid w:val="188924B6"/>
    <w:rsid w:val="189E58C4"/>
    <w:rsid w:val="190B5D28"/>
    <w:rsid w:val="197406AD"/>
    <w:rsid w:val="1999359E"/>
    <w:rsid w:val="19E24A4E"/>
    <w:rsid w:val="19F6744F"/>
    <w:rsid w:val="19FE0A5D"/>
    <w:rsid w:val="1A1F6F95"/>
    <w:rsid w:val="1B1332CA"/>
    <w:rsid w:val="1BFA024C"/>
    <w:rsid w:val="1C94135C"/>
    <w:rsid w:val="1CBE5A05"/>
    <w:rsid w:val="1CDE4763"/>
    <w:rsid w:val="1CFB4A3F"/>
    <w:rsid w:val="1D073223"/>
    <w:rsid w:val="1D312343"/>
    <w:rsid w:val="1D5925E2"/>
    <w:rsid w:val="1D95187B"/>
    <w:rsid w:val="1DAF651A"/>
    <w:rsid w:val="1DD83B52"/>
    <w:rsid w:val="1F2E40D0"/>
    <w:rsid w:val="1F90448E"/>
    <w:rsid w:val="1F924506"/>
    <w:rsid w:val="1FBB36D6"/>
    <w:rsid w:val="200F4073"/>
    <w:rsid w:val="20E01B07"/>
    <w:rsid w:val="210248A0"/>
    <w:rsid w:val="211F7E62"/>
    <w:rsid w:val="215A51EF"/>
    <w:rsid w:val="21E22F6F"/>
    <w:rsid w:val="229016F2"/>
    <w:rsid w:val="22A81848"/>
    <w:rsid w:val="234268C5"/>
    <w:rsid w:val="236F5373"/>
    <w:rsid w:val="23741243"/>
    <w:rsid w:val="23820713"/>
    <w:rsid w:val="247B4D27"/>
    <w:rsid w:val="24B86128"/>
    <w:rsid w:val="25930A3E"/>
    <w:rsid w:val="26122C15"/>
    <w:rsid w:val="28F109D1"/>
    <w:rsid w:val="290C455A"/>
    <w:rsid w:val="291F3644"/>
    <w:rsid w:val="29C30BFF"/>
    <w:rsid w:val="2A5E264B"/>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30252FB1"/>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CD44AA"/>
    <w:rsid w:val="3AE1577B"/>
    <w:rsid w:val="3B275995"/>
    <w:rsid w:val="3B31606E"/>
    <w:rsid w:val="3BBF2075"/>
    <w:rsid w:val="3C1B2B4E"/>
    <w:rsid w:val="3CF66653"/>
    <w:rsid w:val="3D066B28"/>
    <w:rsid w:val="3E502FE6"/>
    <w:rsid w:val="3E56325C"/>
    <w:rsid w:val="3EA805D2"/>
    <w:rsid w:val="3F9A26C0"/>
    <w:rsid w:val="3FD249C9"/>
    <w:rsid w:val="3FD35BB0"/>
    <w:rsid w:val="4004687B"/>
    <w:rsid w:val="40561505"/>
    <w:rsid w:val="40C329C5"/>
    <w:rsid w:val="40DF1A52"/>
    <w:rsid w:val="40F5701C"/>
    <w:rsid w:val="421B0BD5"/>
    <w:rsid w:val="421C6A8E"/>
    <w:rsid w:val="42715D92"/>
    <w:rsid w:val="42D40A95"/>
    <w:rsid w:val="42D76E89"/>
    <w:rsid w:val="42ED7A1D"/>
    <w:rsid w:val="433C35D6"/>
    <w:rsid w:val="439B5CC6"/>
    <w:rsid w:val="44081B00"/>
    <w:rsid w:val="441D492B"/>
    <w:rsid w:val="44202481"/>
    <w:rsid w:val="442B745C"/>
    <w:rsid w:val="4507185F"/>
    <w:rsid w:val="455525A3"/>
    <w:rsid w:val="455F5770"/>
    <w:rsid w:val="46CC7CC3"/>
    <w:rsid w:val="472F07AF"/>
    <w:rsid w:val="479C0BE3"/>
    <w:rsid w:val="47BE6FFB"/>
    <w:rsid w:val="485537A5"/>
    <w:rsid w:val="490A03E5"/>
    <w:rsid w:val="4A4C3CFC"/>
    <w:rsid w:val="4BAC0DA8"/>
    <w:rsid w:val="4CAD59B7"/>
    <w:rsid w:val="4CE26E4A"/>
    <w:rsid w:val="4CEE4B39"/>
    <w:rsid w:val="4D235B00"/>
    <w:rsid w:val="4D2B03C4"/>
    <w:rsid w:val="4D5352D2"/>
    <w:rsid w:val="4D927FC4"/>
    <w:rsid w:val="4DD70288"/>
    <w:rsid w:val="4DE56F14"/>
    <w:rsid w:val="4F245112"/>
    <w:rsid w:val="4FF91515"/>
    <w:rsid w:val="50761DD0"/>
    <w:rsid w:val="50966E31"/>
    <w:rsid w:val="50AC5F11"/>
    <w:rsid w:val="50C02735"/>
    <w:rsid w:val="50E644F7"/>
    <w:rsid w:val="50FC6FB1"/>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5FA396B"/>
    <w:rsid w:val="57C514DD"/>
    <w:rsid w:val="57F754E9"/>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D87229"/>
    <w:rsid w:val="5C464E4E"/>
    <w:rsid w:val="5C47767B"/>
    <w:rsid w:val="5CC72C7C"/>
    <w:rsid w:val="5D5D61B4"/>
    <w:rsid w:val="5D7F5CA3"/>
    <w:rsid w:val="5DAB0D44"/>
    <w:rsid w:val="5DC22EEB"/>
    <w:rsid w:val="5E180807"/>
    <w:rsid w:val="5E3C300C"/>
    <w:rsid w:val="5E6918AC"/>
    <w:rsid w:val="5E807869"/>
    <w:rsid w:val="5EB12FFC"/>
    <w:rsid w:val="5EC119C1"/>
    <w:rsid w:val="5ECD3880"/>
    <w:rsid w:val="5EF13F01"/>
    <w:rsid w:val="5F4E1321"/>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6FE2277"/>
    <w:rsid w:val="67163E36"/>
    <w:rsid w:val="67294323"/>
    <w:rsid w:val="677133AB"/>
    <w:rsid w:val="67A46ABB"/>
    <w:rsid w:val="67A760D9"/>
    <w:rsid w:val="68141A48"/>
    <w:rsid w:val="68301DD3"/>
    <w:rsid w:val="689678DC"/>
    <w:rsid w:val="68E935B2"/>
    <w:rsid w:val="68F071D2"/>
    <w:rsid w:val="69226B8E"/>
    <w:rsid w:val="697650C9"/>
    <w:rsid w:val="697E7CC7"/>
    <w:rsid w:val="6990449C"/>
    <w:rsid w:val="6A3D62B1"/>
    <w:rsid w:val="6B911985"/>
    <w:rsid w:val="6BF1756B"/>
    <w:rsid w:val="6C4770EF"/>
    <w:rsid w:val="6CC17A4F"/>
    <w:rsid w:val="6D533773"/>
    <w:rsid w:val="6D920313"/>
    <w:rsid w:val="6DAF6739"/>
    <w:rsid w:val="6DCD2047"/>
    <w:rsid w:val="6DE0371D"/>
    <w:rsid w:val="6E620CF2"/>
    <w:rsid w:val="6EC45659"/>
    <w:rsid w:val="6ECE0318"/>
    <w:rsid w:val="6F461069"/>
    <w:rsid w:val="6F56616E"/>
    <w:rsid w:val="6F5E1AA3"/>
    <w:rsid w:val="6F8D5764"/>
    <w:rsid w:val="6FC0465E"/>
    <w:rsid w:val="6FC63036"/>
    <w:rsid w:val="6FEC5765"/>
    <w:rsid w:val="702A415B"/>
    <w:rsid w:val="706D6A56"/>
    <w:rsid w:val="70AD31F0"/>
    <w:rsid w:val="70E9255F"/>
    <w:rsid w:val="719649E7"/>
    <w:rsid w:val="71E830CF"/>
    <w:rsid w:val="72310225"/>
    <w:rsid w:val="72C87F7F"/>
    <w:rsid w:val="741F01E3"/>
    <w:rsid w:val="75E10FF1"/>
    <w:rsid w:val="763F556D"/>
    <w:rsid w:val="76434FBA"/>
    <w:rsid w:val="76570E0B"/>
    <w:rsid w:val="767B5FB1"/>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E053A08"/>
    <w:rsid w:val="7E4109C5"/>
    <w:rsid w:val="7EA70AA9"/>
    <w:rsid w:val="7ED0028A"/>
    <w:rsid w:val="7F200B83"/>
    <w:rsid w:val="7F5D585A"/>
    <w:rsid w:val="7F98061B"/>
    <w:rsid w:val="7FCA0E68"/>
    <w:rsid w:val="7FD23705"/>
    <w:rsid w:val="DDF7C97F"/>
    <w:rsid w:val="F7D71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