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hint="eastAsia" w:ascii="方正小标宋_GBK" w:hAnsi="华文中宋" w:eastAsia="方正小标宋_GBK" w:cs="宋体"/>
          <w:b/>
          <w:color w:val="auto"/>
          <w:kern w:val="0"/>
          <w:sz w:val="48"/>
          <w:szCs w:val="48"/>
          <w:highlight w:val="none"/>
          <w:lang w:val="en-US" w:eastAsia="zh-CN"/>
        </w:rPr>
      </w:pPr>
      <w:r>
        <w:rPr>
          <w:rFonts w:hint="eastAsia" w:ascii="方正小标宋_GBK" w:hAnsi="华文中宋" w:eastAsia="方正小标宋_GBK" w:cs="宋体"/>
          <w:b/>
          <w:color w:val="auto"/>
          <w:kern w:val="0"/>
          <w:sz w:val="48"/>
          <w:szCs w:val="48"/>
          <w:highlight w:val="none"/>
          <w:lang w:val="en-US" w:eastAsia="zh-CN"/>
        </w:rPr>
        <w:t>中国人民政治协商会议民丰县委员会</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办公室</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部门单位名称（公章）：中国人民政治协商会议民丰县委员会办公室</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（1）贯彻执行党和国家关于政协工作的方针、政策和</w:t>
      </w:r>
      <w:r>
        <w:rPr>
          <w:rFonts w:hint="eastAsia" w:ascii="仿宋_GB2312" w:hAnsi="宋体" w:eastAsia="仿宋_GB2312"/>
          <w:b w:val="0"/>
          <w:bCs/>
          <w:sz w:val="32"/>
          <w:szCs w:val="32"/>
          <w:lang w:eastAsia="zh-CN"/>
        </w:rPr>
        <w:t>法律法规</w:t>
      </w:r>
      <w:r>
        <w:rPr>
          <w:rFonts w:hint="eastAsia" w:ascii="仿宋_GB2312" w:hAnsi="宋体" w:eastAsia="仿宋_GB2312"/>
          <w:b w:val="0"/>
          <w:bCs/>
          <w:sz w:val="32"/>
          <w:szCs w:val="32"/>
        </w:rPr>
        <w:t>、规章；</w:t>
      </w:r>
      <w:r>
        <w:rPr>
          <w:rFonts w:hint="eastAsia" w:ascii="仿宋_GB2312" w:hAnsi="宋体" w:eastAsia="仿宋_GB2312"/>
          <w:b w:val="0"/>
          <w:bCs/>
          <w:sz w:val="32"/>
          <w:szCs w:val="32"/>
          <w:lang w:eastAsia="zh-CN"/>
        </w:rPr>
        <w:t>制定</w:t>
      </w:r>
      <w:r>
        <w:rPr>
          <w:rFonts w:hint="eastAsia" w:ascii="仿宋_GB2312" w:hAnsi="宋体" w:eastAsia="仿宋_GB2312"/>
          <w:b w:val="0"/>
          <w:bCs/>
          <w:sz w:val="32"/>
          <w:szCs w:val="32"/>
        </w:rPr>
        <w:t>相应的政策措施及实施办法，并组织实施和监督检查。</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（2）负责编制全县政协事业发展规划。</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（3）综合管理全县政协委员工作。会同有关部门拟订全县政协事业发展战略、规划和政策措施；负责指导和协调全县政协委员培训。</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rPr>
        <w:t>（4）办公室负责对地工委决议、决定和地委、行署重要工作部署的贯彻落实情况督促检查，并及时向地工委主要领导反馈</w:t>
      </w:r>
      <w:r>
        <w:rPr>
          <w:rFonts w:hint="eastAsia" w:ascii="仿宋_GB2312" w:hAnsi="宋体" w:eastAsia="仿宋_GB2312"/>
          <w:b w:val="0"/>
          <w:bCs/>
          <w:sz w:val="32"/>
          <w:szCs w:val="32"/>
          <w:lang w:eastAsia="zh-CN"/>
        </w:rPr>
        <w:t>。</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（5）办公室负责工委召开的各类会议的会务工作。负责工委及机关的公文运转和文书工作，做好机关保密和档案工作，做好政协网页和OA的管理工作。</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（6）承担地区专家顾问团办公室工作，做好地区专家顾问的组织、协调和服务工作。</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（7）负责机关财务、人事、车辆、 国有资产管理和治安保卫、劳动卫生、扶贫慰问等公务管理工作。做好政协退休干部的管理、服务工作。</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kern w:val="0"/>
          <w:sz w:val="32"/>
          <w:szCs w:val="32"/>
          <w:lang w:val="en-US" w:eastAsia="zh-CN" w:bidi="ar-SA"/>
        </w:rPr>
      </w:pPr>
      <w:r>
        <w:rPr>
          <w:rFonts w:hint="eastAsia" w:ascii="仿宋_GB2312" w:hAnsi="宋体" w:eastAsia="仿宋_GB2312"/>
          <w:b w:val="0"/>
          <w:bCs/>
          <w:sz w:val="32"/>
          <w:szCs w:val="32"/>
        </w:rPr>
        <w:t>（8）做好接待工作，加强与兄弟政协的联络交流工作以及地委、人大、行署办公室、各县（市）政协、各有关单位的联络协调工作</w:t>
      </w:r>
      <w:r>
        <w:rPr>
          <w:rFonts w:hint="eastAsia" w:ascii="仿宋_GB2312" w:hAnsi="仿宋_GB2312" w:eastAsia="仿宋_GB2312" w:cs="仿宋_GB2312"/>
          <w:b w:val="0"/>
          <w:bCs w:val="0"/>
          <w:kern w:val="0"/>
          <w:sz w:val="32"/>
          <w:szCs w:val="32"/>
          <w:lang w:val="en-US" w:eastAsia="zh-CN" w:bidi="ar-SA"/>
        </w:rPr>
        <w:t>。</w:t>
      </w:r>
    </w:p>
    <w:p>
      <w:pPr>
        <w:pStyle w:val="12"/>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宋体"/>
          <w:b/>
          <w:color w:val="auto"/>
          <w:sz w:val="32"/>
          <w:szCs w:val="32"/>
          <w:highlight w:val="none"/>
          <w:lang w:bidi="ar"/>
        </w:rPr>
      </w:pPr>
      <w:r>
        <w:rPr>
          <w:rFonts w:hint="eastAsia" w:ascii="仿宋_GB2312" w:hAnsi="宋体" w:eastAsia="仿宋_GB2312"/>
          <w:b w:val="0"/>
          <w:bCs/>
          <w:sz w:val="32"/>
          <w:szCs w:val="32"/>
        </w:rPr>
        <w:t>民丰县政协，单位编制数</w:t>
      </w:r>
      <w:r>
        <w:rPr>
          <w:rFonts w:hint="eastAsia" w:ascii="仿宋_GB2312" w:hAnsi="宋体" w:eastAsia="仿宋_GB2312"/>
          <w:b w:val="0"/>
          <w:bCs/>
          <w:sz w:val="32"/>
          <w:szCs w:val="32"/>
          <w:lang w:val="en-US" w:eastAsia="zh-CN"/>
        </w:rPr>
        <w:t>10</w:t>
      </w:r>
      <w:r>
        <w:rPr>
          <w:rFonts w:hint="eastAsia" w:ascii="仿宋_GB2312" w:hAnsi="宋体" w:eastAsia="仿宋_GB2312"/>
          <w:b w:val="0"/>
          <w:bCs/>
          <w:sz w:val="32"/>
          <w:szCs w:val="32"/>
        </w:rPr>
        <w:t>人，实有人数</w:t>
      </w:r>
      <w:r>
        <w:rPr>
          <w:rFonts w:hint="eastAsia" w:ascii="仿宋_GB2312" w:hAnsi="宋体" w:eastAsia="仿宋_GB2312"/>
          <w:b w:val="0"/>
          <w:bCs/>
          <w:sz w:val="32"/>
          <w:szCs w:val="32"/>
          <w:lang w:val="en-US" w:eastAsia="zh-CN"/>
        </w:rPr>
        <w:t>10</w:t>
      </w:r>
      <w:r>
        <w:rPr>
          <w:rFonts w:hint="eastAsia" w:ascii="仿宋_GB2312" w:hAnsi="宋体" w:eastAsia="仿宋_GB2312"/>
          <w:b w:val="0"/>
          <w:bCs/>
          <w:sz w:val="32"/>
          <w:szCs w:val="32"/>
        </w:rPr>
        <w:t xml:space="preserve">人，其中：在职 </w:t>
      </w:r>
      <w:r>
        <w:rPr>
          <w:rFonts w:hint="eastAsia" w:ascii="仿宋_GB2312" w:hAnsi="宋体" w:eastAsia="仿宋_GB2312"/>
          <w:b w:val="0"/>
          <w:bCs/>
          <w:sz w:val="32"/>
          <w:szCs w:val="32"/>
          <w:lang w:val="en-US" w:eastAsia="zh-CN"/>
        </w:rPr>
        <w:t>10</w:t>
      </w:r>
      <w:r>
        <w:rPr>
          <w:rFonts w:hint="eastAsia" w:ascii="仿宋_GB2312" w:hAnsi="宋体" w:eastAsia="仿宋_GB2312"/>
          <w:b w:val="0"/>
          <w:bCs/>
          <w:sz w:val="32"/>
          <w:szCs w:val="32"/>
        </w:rPr>
        <w:t>人，退休</w:t>
      </w:r>
      <w:r>
        <w:rPr>
          <w:rFonts w:hint="eastAsia" w:ascii="仿宋_GB2312" w:hAnsi="宋体" w:eastAsia="仿宋_GB2312"/>
          <w:b w:val="0"/>
          <w:bCs/>
          <w:sz w:val="32"/>
          <w:szCs w:val="32"/>
          <w:lang w:val="en-US" w:eastAsia="zh-CN"/>
        </w:rPr>
        <w:t>0</w:t>
      </w:r>
      <w:r>
        <w:rPr>
          <w:rFonts w:hint="eastAsia" w:ascii="仿宋_GB2312" w:hAnsi="宋体" w:eastAsia="仿宋_GB2312"/>
          <w:b w:val="0"/>
          <w:bCs/>
          <w:sz w:val="32"/>
          <w:szCs w:val="32"/>
        </w:rPr>
        <w:t>人，离休0人；行政编制</w:t>
      </w:r>
      <w:r>
        <w:rPr>
          <w:rFonts w:hint="eastAsia" w:ascii="仿宋_GB2312" w:hAnsi="宋体" w:eastAsia="仿宋_GB2312"/>
          <w:b w:val="0"/>
          <w:bCs/>
          <w:sz w:val="32"/>
          <w:szCs w:val="32"/>
          <w:lang w:val="en-US" w:eastAsia="zh-CN"/>
        </w:rPr>
        <w:t>10</w:t>
      </w:r>
      <w:r>
        <w:rPr>
          <w:rFonts w:hint="eastAsia" w:ascii="仿宋_GB2312" w:hAnsi="宋体" w:eastAsia="仿宋_GB2312"/>
          <w:b w:val="0"/>
          <w:bCs/>
          <w:sz w:val="32"/>
          <w:szCs w:val="32"/>
        </w:rPr>
        <w:t>人，参照公务员法管理事业人员0人，非参公事业人员0人。</w:t>
      </w:r>
      <w:r>
        <w:rPr>
          <w:rFonts w:hint="eastAsia" w:ascii="仿宋_GB2312" w:hAnsi="宋体" w:eastAsia="仿宋_GB2312"/>
          <w:b w:val="0"/>
          <w:bCs/>
          <w:sz w:val="32"/>
          <w:szCs w:val="32"/>
        </w:rPr>
        <w:cr/>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10" w:leftChars="0" w:firstLine="640" w:firstLineChars="0"/>
        <w:jc w:val="lef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明确学习重点、改进学习方法、强化学习措施。组织和引导委员深入学习贯彻十九大会议精神，深化“不忘初心、牢记使命”教育，学习《政协章程》，把思想统一到促进全县社会稳定和长治久安上来，把力量凝聚到县委、县政府各项工作部署的落实上来。坚持各项学习制度，按照县委的统一部署和要求，以党的十九大精神指导政协工作实践。适时举办委员培训班和组织部分委员外出考察学习，转换角色，借鉴经验，以推动政协工作开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黑体" w:hAnsi="黑体" w:eastAsia="黑体" w:cs="宋体"/>
          <w:b/>
          <w:color w:val="auto"/>
          <w:sz w:val="32"/>
          <w:szCs w:val="32"/>
          <w:highlight w:val="none"/>
          <w:lang w:bidi="ar"/>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2</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牢固树立稳定压倒一切的思想不动摇。动员各乡、镇政协联络小组和广大政协委员充分发挥团结各界凝聚人心的作用，坚定不移地维护祖国统一，维护民族团结，维护民丰社会稳定。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3</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深入开展调研活动。围绕县委发展思路，在维护社会稳定、民生建设、生态文明建设、教育方面等重大问题开展调研活动，为促进全县经济社会发展建言献策。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4</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积极开展协商议政。重点围绕</w:t>
      </w:r>
      <w:r>
        <w:rPr>
          <w:rFonts w:hint="eastAsia" w:ascii="仿宋_GB2312" w:hAnsi="宋体" w:eastAsia="仿宋_GB2312"/>
          <w:b w:val="0"/>
          <w:bCs/>
          <w:sz w:val="32"/>
          <w:szCs w:val="32"/>
          <w:lang w:eastAsia="zh-CN"/>
        </w:rPr>
        <w:t>县委、县政府</w:t>
      </w:r>
      <w:r>
        <w:rPr>
          <w:rFonts w:hint="eastAsia" w:ascii="仿宋_GB2312" w:hAnsi="宋体" w:eastAsia="仿宋_GB2312"/>
          <w:b w:val="0"/>
          <w:bCs/>
          <w:sz w:val="32"/>
          <w:szCs w:val="32"/>
        </w:rPr>
        <w:t>的安排部署，加强和创新社会管理、新型冠状病毒肺炎疫情防控、财政预决算、重大项目建设等课题，通过主席会议、专题协商座谈会等形式，多层次开展协商议政，为推动民丰稳定发展尽责出力。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（5）实施民主评议监督。坚持把优化发展环境和改善民生作为履行民主监督职能的重点，把民主监督纳入提案、调研、视察、反映社情民意等经常性工作之中。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6）认真做好委员视察工作。突出委员视察的监督作用，组织委员在疆内外视察学习，重点就社会稳定、脱贫攻坚、城市建设、教育、医疗、林果业和农产品加工等开展视察，发挥好委员视察“咨政建言、反映民意、民主监督”的作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7）认真做好提案工作。依据《政协民丰县委员会提案工作办法》，采取提请县领导批办、主席会议成员督办和上门督办、会议督办、舆论督办等方式，加大提案督办力度，提高提案的落实率和满意率。适时对委员提案办理情况开展评议活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（8）加强文史资料工作。继续做好文史资料的收集与整理工作，积极完成自治区、政协地工委安排的史料协作任务。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left"/>
        <w:textAlignment w:val="auto"/>
        <w:rPr>
          <w:rFonts w:hint="eastAsia" w:ascii="黑体" w:hAnsi="黑体" w:eastAsia="黑体" w:cs="宋体"/>
          <w:b/>
          <w:color w:val="auto"/>
          <w:sz w:val="32"/>
          <w:szCs w:val="32"/>
          <w:highlight w:val="none"/>
          <w:lang w:bidi="ar"/>
        </w:rPr>
      </w:pPr>
      <w:r>
        <w:rPr>
          <w:rFonts w:hint="eastAsia" w:ascii="仿宋_GB2312" w:hAnsi="宋体" w:eastAsia="仿宋_GB2312"/>
          <w:b w:val="0"/>
          <w:bCs/>
          <w:sz w:val="32"/>
          <w:szCs w:val="32"/>
        </w:rPr>
        <w:t>（9）大力加强委员会及政协机关的自身建设。认真学习贯彻习近平新时代中国特色社会主义思想，习近平关于新疆工作重要指示批示精神，中央政治局关于改进工作作风、密切联系群众的八项规定等文件精神，按照政协章程规定，根据县委要求，不断加强委员会思想建设、组织建设和作风建设。以身作则、率先垂范，带头改进工作作风、密切联系群众，树立务实、亲民、敬民、清廉、开放的政协良好形象。提高政协业务素质，健全履行职能的规章制度，不断提高服务能力和水平。</w:t>
      </w:r>
      <w:r>
        <w:rPr>
          <w:rFonts w:hint="eastAsia" w:ascii="仿宋_GB2312" w:hAnsi="宋体" w:eastAsia="仿宋_GB2312"/>
          <w:b w:val="0"/>
          <w:bCs/>
          <w:sz w:val="32"/>
          <w:szCs w:val="32"/>
        </w:rPr>
        <w:cr/>
      </w: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5万元，预算数（调整后）14.33万元，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14.33万元，执行率100%。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243.95万元，预算数（调整后）282.81万元，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282.81万元，执行率100%。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中国人民政治协商会议民丰县委员会办公室</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282.81</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264.88</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17.93</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282.81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中国人民政治协商会议民丰县委员会办公室</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14.33</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14.33</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中国人民政治协商会议民丰县委员会办公室</w:t>
      </w:r>
      <w:r>
        <w:rPr>
          <w:rFonts w:hint="eastAsia" w:hAnsi="方正楷体简体"/>
          <w:color w:val="auto"/>
          <w:highlight w:val="none"/>
        </w:rPr>
        <w:t>项目支出共涉及</w:t>
      </w:r>
      <w:r>
        <w:rPr>
          <w:rFonts w:hint="eastAsia" w:hAnsi="方正楷体简体"/>
          <w:color w:val="auto"/>
          <w:highlight w:val="none"/>
          <w:lang w:val="en-US" w:eastAsia="zh-CN"/>
        </w:rPr>
        <w:t>3</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rPr>
          <w:trHeight w:val="314" w:hRule="atLeast"/>
        </w:trP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2022年自治区“访惠聚”驻村工作经费[工作队为民办实事经费]</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行政政法股</w:t>
            </w:r>
          </w:p>
        </w:tc>
        <w:tc>
          <w:tcPr>
            <w:tcW w:w="2525" w:type="dxa"/>
            <w:vAlign w:val="center"/>
          </w:tcPr>
          <w:p>
            <w:pPr>
              <w:keepNext w:val="0"/>
              <w:keepLines w:val="0"/>
              <w:widowControl/>
              <w:suppressLineNumbers w:val="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0.39</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“访惠聚”工作队2023年为民办好实事经费项目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8.94</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2023年度自治区基层政协补助经费</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中国人民政治协商会议民丰县委员会办公室</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282.81</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264.88</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17.93</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282.81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14.33</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14.33</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000000"/>
                <w:kern w:val="0"/>
                <w:sz w:val="22"/>
                <w:szCs w:val="22"/>
                <w:u w:val="none"/>
                <w:lang w:val="en-US" w:eastAsia="zh-CN" w:bidi="ar"/>
              </w:rPr>
              <w:t>2022年自治区“访惠聚”驻村工作经费[工作队为民办实事经费]</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行政政法股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32"/>
                <w:szCs w:val="32"/>
                <w:highlight w:val="none"/>
                <w:lang w:val="en-US"/>
              </w:rPr>
            </w:pPr>
            <w:r>
              <w:rPr>
                <w:rFonts w:hint="eastAsia" w:ascii="宋体" w:hAnsi="宋体" w:eastAsia="宋体" w:cs="宋体"/>
                <w:i w:val="0"/>
                <w:color w:val="000000"/>
                <w:kern w:val="0"/>
                <w:sz w:val="22"/>
                <w:szCs w:val="22"/>
                <w:u w:val="none"/>
                <w:lang w:val="en-US" w:eastAsia="zh-CN" w:bidi="ar"/>
              </w:rPr>
              <w:t>0.39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32"/>
                <w:szCs w:val="32"/>
                <w:highlight w:val="none"/>
                <w:lang w:val="en-US"/>
              </w:rPr>
            </w:pPr>
            <w:r>
              <w:rPr>
                <w:rFonts w:hint="eastAsia" w:ascii="宋体" w:hAnsi="宋体" w:eastAsia="宋体" w:cs="宋体"/>
                <w:i w:val="0"/>
                <w:color w:val="000000"/>
                <w:kern w:val="0"/>
                <w:sz w:val="22"/>
                <w:szCs w:val="22"/>
                <w:u w:val="none"/>
                <w:lang w:val="en-US" w:eastAsia="zh-CN" w:bidi="ar"/>
              </w:rPr>
              <w:t>0.39</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“访惠聚”工作队2023年为民办好实事经费项目</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8.94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8.94</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2023年度自治区基层政协补助经费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5</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14.33</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14.33</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32"/>
                <w:szCs w:val="3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（一）指标一：政协委员视察调研次数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政协委员视察调研次数</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大于等于4次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4次</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（二）指标二：召开全县第十四届政协会议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召开全县第十四届政协会议，预期指标是</w:t>
      </w:r>
      <w:r>
        <w:rPr>
          <w:rFonts w:hint="eastAsia" w:ascii="仿宋_GB2312" w:hAnsi="仿宋" w:eastAsia="仿宋_GB2312"/>
          <w:color w:val="auto"/>
          <w:sz w:val="32"/>
          <w:szCs w:val="32"/>
          <w:highlight w:val="none"/>
          <w:lang w:val="en-US" w:eastAsia="zh-CN"/>
        </w:rPr>
        <w:t>1次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1次</w:t>
      </w:r>
      <w:r>
        <w:rPr>
          <w:rStyle w:val="9"/>
          <w:rFonts w:hint="eastAsia" w:ascii="仿宋_GB2312" w:hAnsi="楷体" w:eastAsia="仿宋_GB2312" w:cs="Times New Roman"/>
          <w:b w:val="0"/>
          <w:color w:val="auto"/>
          <w:spacing w:val="-4"/>
          <w:sz w:val="32"/>
          <w:szCs w:val="32"/>
          <w:highlight w:val="none"/>
          <w:lang w:val="en-US" w:eastAsia="zh-CN"/>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（三）指标三：提案办复率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提案办复率，预期指标是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100%，</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100%</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（四）指标四：政协委员参与人数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 w:eastAsia="仿宋_GB2312"/>
          <w:color w:val="auto"/>
          <w:sz w:val="32"/>
          <w:szCs w:val="32"/>
          <w:highlight w:val="none"/>
        </w:rPr>
        <w:t>政协委员参与人数，预期指标是</w:t>
      </w:r>
      <w:r>
        <w:rPr>
          <w:rFonts w:hint="eastAsia" w:ascii="仿宋_GB2312" w:hAnsi="仿宋" w:eastAsia="仿宋_GB2312"/>
          <w:color w:val="auto"/>
          <w:sz w:val="32"/>
          <w:szCs w:val="32"/>
          <w:highlight w:val="none"/>
          <w:lang w:val="en-US" w:eastAsia="zh-CN"/>
        </w:rPr>
        <w:t>大于等于75人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75人，</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75人</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2023年度部门整体支出绩效自评综合得分100分，评价结果为“优”。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spacing w:line="540" w:lineRule="exact"/>
        <w:ind w:firstLine="564" w:firstLineChars="181"/>
        <w:rPr>
          <w:rStyle w:val="9"/>
          <w:rFonts w:hint="eastAsia" w:ascii="仿宋_GB2312" w:hAnsi="楷体" w:eastAsia="仿宋_GB2312" w:cs="Times New Roman"/>
          <w:b w:val="0"/>
          <w:color w:val="auto"/>
          <w:spacing w:val="-4"/>
          <w:sz w:val="32"/>
          <w:szCs w:val="32"/>
          <w:highlight w:val="none"/>
          <w:lang w:val="en-US" w:eastAsia="zh-CN"/>
        </w:rPr>
      </w:pPr>
      <w:r>
        <w:rPr>
          <w:rStyle w:val="9"/>
          <w:rFonts w:hint="eastAsia" w:ascii="仿宋_GB2312" w:hAnsi="楷体" w:eastAsia="仿宋_GB2312" w:cs="Times New Roman"/>
          <w:b w:val="0"/>
          <w:color w:val="auto"/>
          <w:spacing w:val="-4"/>
          <w:sz w:val="32"/>
          <w:szCs w:val="32"/>
          <w:highlight w:val="none"/>
          <w:lang w:val="en-US" w:eastAsia="zh-CN"/>
        </w:rPr>
        <w:t>无。</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hint="eastAsia" w:ascii="仿宋_GB2312" w:hAnsi="仿宋" w:eastAsia="仿宋_GB2312" w:cs="仿宋"/>
          <w:color w:val="auto"/>
          <w:spacing w:val="-4"/>
          <w:kern w:val="2"/>
          <w:sz w:val="32"/>
          <w:szCs w:val="32"/>
          <w:highlight w:val="none"/>
          <w:lang w:val="en-US" w:eastAsia="zh-CN" w:bidi="ar-SA"/>
        </w:rPr>
        <w:t>无</w:t>
      </w:r>
      <w:r>
        <w:rPr>
          <w:rFonts w:ascii="仿宋_GB2312" w:hAnsi="楷体" w:eastAsia="仿宋_GB2312" w:cs="仿宋"/>
          <w:color w:val="auto"/>
          <w:spacing w:val="-4"/>
          <w:sz w:val="32"/>
          <w:szCs w:val="32"/>
          <w:highlight w:val="none"/>
        </w:rPr>
        <w:t>。</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F9984E0E"/>
    <w:multiLevelType w:val="singleLevel"/>
    <w:tmpl w:val="F9984E0E"/>
    <w:lvl w:ilvl="0" w:tentative="0">
      <w:start w:val="1"/>
      <w:numFmt w:val="decimal"/>
      <w:suff w:val="nothing"/>
      <w:lvlText w:val="（%1）"/>
      <w:lvlJc w:val="left"/>
      <w:pPr>
        <w:ind w:left="-10"/>
      </w:pPr>
    </w:lvl>
  </w:abstractNum>
  <w:abstractNum w:abstractNumId="2">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CE4A12"/>
    <w:rsid w:val="00DB647F"/>
    <w:rsid w:val="00DC7E33"/>
    <w:rsid w:val="00E40ABD"/>
    <w:rsid w:val="00E8616A"/>
    <w:rsid w:val="00EB3604"/>
    <w:rsid w:val="020B07BA"/>
    <w:rsid w:val="02656D15"/>
    <w:rsid w:val="02D53963"/>
    <w:rsid w:val="02DD6DFB"/>
    <w:rsid w:val="02E32A46"/>
    <w:rsid w:val="033D0BD9"/>
    <w:rsid w:val="03F55E79"/>
    <w:rsid w:val="04C325F4"/>
    <w:rsid w:val="04E37572"/>
    <w:rsid w:val="04F31387"/>
    <w:rsid w:val="053C376F"/>
    <w:rsid w:val="056B2C09"/>
    <w:rsid w:val="059E4F1D"/>
    <w:rsid w:val="05CB6613"/>
    <w:rsid w:val="065340BF"/>
    <w:rsid w:val="06696209"/>
    <w:rsid w:val="067858D3"/>
    <w:rsid w:val="083B3FF0"/>
    <w:rsid w:val="0883680C"/>
    <w:rsid w:val="08AF2377"/>
    <w:rsid w:val="08CC471F"/>
    <w:rsid w:val="08DB74F4"/>
    <w:rsid w:val="08DF2A73"/>
    <w:rsid w:val="0AAD7D55"/>
    <w:rsid w:val="0AC65524"/>
    <w:rsid w:val="0B5B2654"/>
    <w:rsid w:val="0B6F48AA"/>
    <w:rsid w:val="0BC64CF0"/>
    <w:rsid w:val="0C1013EF"/>
    <w:rsid w:val="0C360B29"/>
    <w:rsid w:val="0CCD187B"/>
    <w:rsid w:val="0D1922F1"/>
    <w:rsid w:val="0D9F0DF1"/>
    <w:rsid w:val="0E325CFD"/>
    <w:rsid w:val="0E6E4ABB"/>
    <w:rsid w:val="0E737D65"/>
    <w:rsid w:val="0F7479C3"/>
    <w:rsid w:val="10DF6E84"/>
    <w:rsid w:val="127423D4"/>
    <w:rsid w:val="12D07449"/>
    <w:rsid w:val="1394628E"/>
    <w:rsid w:val="13BD0265"/>
    <w:rsid w:val="13C71FBF"/>
    <w:rsid w:val="1438599A"/>
    <w:rsid w:val="14672081"/>
    <w:rsid w:val="14774BD6"/>
    <w:rsid w:val="147D509D"/>
    <w:rsid w:val="14F27B7B"/>
    <w:rsid w:val="15190DF9"/>
    <w:rsid w:val="15C44D20"/>
    <w:rsid w:val="16F94A67"/>
    <w:rsid w:val="18414008"/>
    <w:rsid w:val="189E58C4"/>
    <w:rsid w:val="18DA0301"/>
    <w:rsid w:val="197406AD"/>
    <w:rsid w:val="19F6744F"/>
    <w:rsid w:val="19FE0A5D"/>
    <w:rsid w:val="1A25501E"/>
    <w:rsid w:val="1C2C07FE"/>
    <w:rsid w:val="1C67144E"/>
    <w:rsid w:val="1D073223"/>
    <w:rsid w:val="1D95187B"/>
    <w:rsid w:val="1E66234A"/>
    <w:rsid w:val="1EEE0F9D"/>
    <w:rsid w:val="1FBB36D6"/>
    <w:rsid w:val="200F4073"/>
    <w:rsid w:val="211B3E94"/>
    <w:rsid w:val="215E00BB"/>
    <w:rsid w:val="224462AF"/>
    <w:rsid w:val="229016F2"/>
    <w:rsid w:val="234B1673"/>
    <w:rsid w:val="236F5373"/>
    <w:rsid w:val="237B7408"/>
    <w:rsid w:val="23820713"/>
    <w:rsid w:val="24B86128"/>
    <w:rsid w:val="252E7E35"/>
    <w:rsid w:val="254C0941"/>
    <w:rsid w:val="26BB34EA"/>
    <w:rsid w:val="27403F24"/>
    <w:rsid w:val="27FB2943"/>
    <w:rsid w:val="28365FEE"/>
    <w:rsid w:val="2882412D"/>
    <w:rsid w:val="28F109D1"/>
    <w:rsid w:val="291F3644"/>
    <w:rsid w:val="292F3835"/>
    <w:rsid w:val="29B25969"/>
    <w:rsid w:val="2AF77D81"/>
    <w:rsid w:val="2B043BBD"/>
    <w:rsid w:val="2B4341EB"/>
    <w:rsid w:val="2C4A2785"/>
    <w:rsid w:val="2CA0603E"/>
    <w:rsid w:val="2D6A2DFD"/>
    <w:rsid w:val="2DAA4FFB"/>
    <w:rsid w:val="2DE92A48"/>
    <w:rsid w:val="2E913C19"/>
    <w:rsid w:val="2EE7129F"/>
    <w:rsid w:val="2EF80FF5"/>
    <w:rsid w:val="2F084D7C"/>
    <w:rsid w:val="30521277"/>
    <w:rsid w:val="307179D7"/>
    <w:rsid w:val="30A967BD"/>
    <w:rsid w:val="30C71428"/>
    <w:rsid w:val="31153648"/>
    <w:rsid w:val="311D1738"/>
    <w:rsid w:val="32650FE8"/>
    <w:rsid w:val="32F63DCB"/>
    <w:rsid w:val="33AB5FAE"/>
    <w:rsid w:val="33D53037"/>
    <w:rsid w:val="33EA0269"/>
    <w:rsid w:val="343E7D67"/>
    <w:rsid w:val="345A5349"/>
    <w:rsid w:val="34966B02"/>
    <w:rsid w:val="34CB0FF3"/>
    <w:rsid w:val="34FF4657"/>
    <w:rsid w:val="350E12DF"/>
    <w:rsid w:val="35274E80"/>
    <w:rsid w:val="35446943"/>
    <w:rsid w:val="355E433D"/>
    <w:rsid w:val="35DC4FFE"/>
    <w:rsid w:val="361E2E4B"/>
    <w:rsid w:val="362070E1"/>
    <w:rsid w:val="364E6E77"/>
    <w:rsid w:val="36AE361F"/>
    <w:rsid w:val="37213B34"/>
    <w:rsid w:val="372733FD"/>
    <w:rsid w:val="37371439"/>
    <w:rsid w:val="376B3647"/>
    <w:rsid w:val="386D3270"/>
    <w:rsid w:val="38880381"/>
    <w:rsid w:val="38A56747"/>
    <w:rsid w:val="38A61EBD"/>
    <w:rsid w:val="39A60A3A"/>
    <w:rsid w:val="3A145058"/>
    <w:rsid w:val="3ABA302D"/>
    <w:rsid w:val="3BBF2075"/>
    <w:rsid w:val="3DF04555"/>
    <w:rsid w:val="3E81126F"/>
    <w:rsid w:val="3F267C21"/>
    <w:rsid w:val="3F377722"/>
    <w:rsid w:val="3FD249C9"/>
    <w:rsid w:val="3FD35BB0"/>
    <w:rsid w:val="3FE42DCB"/>
    <w:rsid w:val="41D16217"/>
    <w:rsid w:val="41FB2085"/>
    <w:rsid w:val="433C35D6"/>
    <w:rsid w:val="43925232"/>
    <w:rsid w:val="43D31851"/>
    <w:rsid w:val="44081B00"/>
    <w:rsid w:val="44202481"/>
    <w:rsid w:val="455525A3"/>
    <w:rsid w:val="46E706D9"/>
    <w:rsid w:val="4734166A"/>
    <w:rsid w:val="478B7E39"/>
    <w:rsid w:val="48DB7079"/>
    <w:rsid w:val="49056F6B"/>
    <w:rsid w:val="499C2ED6"/>
    <w:rsid w:val="4A51010F"/>
    <w:rsid w:val="4AE96CD1"/>
    <w:rsid w:val="4CCB231D"/>
    <w:rsid w:val="4CE26E4A"/>
    <w:rsid w:val="4D346CA2"/>
    <w:rsid w:val="4D5352D2"/>
    <w:rsid w:val="4EB24179"/>
    <w:rsid w:val="4EC92350"/>
    <w:rsid w:val="4ED73EF6"/>
    <w:rsid w:val="4EE93236"/>
    <w:rsid w:val="4F245112"/>
    <w:rsid w:val="50966E31"/>
    <w:rsid w:val="509F769A"/>
    <w:rsid w:val="50E07529"/>
    <w:rsid w:val="513509E7"/>
    <w:rsid w:val="51C70EA9"/>
    <w:rsid w:val="51EC08C3"/>
    <w:rsid w:val="51EC3E10"/>
    <w:rsid w:val="52447D8A"/>
    <w:rsid w:val="52802819"/>
    <w:rsid w:val="52DD0612"/>
    <w:rsid w:val="53A34CDC"/>
    <w:rsid w:val="53B535AD"/>
    <w:rsid w:val="54942087"/>
    <w:rsid w:val="54F842B6"/>
    <w:rsid w:val="54FA12D1"/>
    <w:rsid w:val="54FC61C8"/>
    <w:rsid w:val="55525A1B"/>
    <w:rsid w:val="55670CF1"/>
    <w:rsid w:val="56145B63"/>
    <w:rsid w:val="561D1A23"/>
    <w:rsid w:val="564F3767"/>
    <w:rsid w:val="56CF5F6C"/>
    <w:rsid w:val="5890742B"/>
    <w:rsid w:val="58CB188F"/>
    <w:rsid w:val="58FB7FD2"/>
    <w:rsid w:val="59315140"/>
    <w:rsid w:val="59897D07"/>
    <w:rsid w:val="59CC5807"/>
    <w:rsid w:val="5B9757C7"/>
    <w:rsid w:val="5BD87229"/>
    <w:rsid w:val="5C983166"/>
    <w:rsid w:val="5D6B6358"/>
    <w:rsid w:val="5DAA22FE"/>
    <w:rsid w:val="5E837998"/>
    <w:rsid w:val="5E8F3A65"/>
    <w:rsid w:val="5EB12FFC"/>
    <w:rsid w:val="5F571E89"/>
    <w:rsid w:val="5F736BDA"/>
    <w:rsid w:val="5F781279"/>
    <w:rsid w:val="5FCF4505"/>
    <w:rsid w:val="5FDD090C"/>
    <w:rsid w:val="60810646"/>
    <w:rsid w:val="60A001E1"/>
    <w:rsid w:val="60A4688C"/>
    <w:rsid w:val="615200B3"/>
    <w:rsid w:val="61533F93"/>
    <w:rsid w:val="61883CD3"/>
    <w:rsid w:val="631E50AA"/>
    <w:rsid w:val="63667F05"/>
    <w:rsid w:val="64092DFE"/>
    <w:rsid w:val="64F5745B"/>
    <w:rsid w:val="65410230"/>
    <w:rsid w:val="656071F2"/>
    <w:rsid w:val="668A5953"/>
    <w:rsid w:val="67163E36"/>
    <w:rsid w:val="67695929"/>
    <w:rsid w:val="677F432F"/>
    <w:rsid w:val="679B4E6A"/>
    <w:rsid w:val="67A46ABB"/>
    <w:rsid w:val="67A760D9"/>
    <w:rsid w:val="68F213E8"/>
    <w:rsid w:val="697650C9"/>
    <w:rsid w:val="6B7124C8"/>
    <w:rsid w:val="6B964858"/>
    <w:rsid w:val="6BF1756B"/>
    <w:rsid w:val="6D0B0B86"/>
    <w:rsid w:val="6D2B4E93"/>
    <w:rsid w:val="6F4E31B9"/>
    <w:rsid w:val="6F5E1AA3"/>
    <w:rsid w:val="6FC63036"/>
    <w:rsid w:val="709519DA"/>
    <w:rsid w:val="70AD31F0"/>
    <w:rsid w:val="72BA7957"/>
    <w:rsid w:val="72F43B19"/>
    <w:rsid w:val="73E84A6D"/>
    <w:rsid w:val="75E10FF1"/>
    <w:rsid w:val="76434FBA"/>
    <w:rsid w:val="769A4E05"/>
    <w:rsid w:val="77474604"/>
    <w:rsid w:val="7A566AB7"/>
    <w:rsid w:val="7B5A04B1"/>
    <w:rsid w:val="7B8914C5"/>
    <w:rsid w:val="7C5764FD"/>
    <w:rsid w:val="7CE51A9F"/>
    <w:rsid w:val="7D24732E"/>
    <w:rsid w:val="7EAFC859"/>
    <w:rsid w:val="7F200B83"/>
    <w:rsid w:val="7F5D585A"/>
    <w:rsid w:val="FF3E43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customStyle="1" w:styleId="14">
    <w:name w:val="样式1"/>
    <w:basedOn w:val="1"/>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57</Words>
  <Characters>328</Characters>
  <Lines>2</Lines>
  <Paragraphs>1</Paragraphs>
  <TotalTime>1</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2024-10-11T19:42:37Z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