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民丰县县城小学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部门单位名称（公章）：民丰县县城小学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县城小学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540" w:lineRule="exact"/>
        <w:ind w:firstLine="579" w:firstLineChars="181"/>
        <w:rPr>
          <w:rFonts w:hint="eastAsia" w:ascii="黑体" w:hAnsi="黑体" w:eastAsia="黑体" w:cs="宋体"/>
          <w:b/>
          <w:color w:val="auto"/>
          <w:sz w:val="32"/>
          <w:szCs w:val="32"/>
          <w:highlight w:val="none"/>
          <w:lang w:bidi="ar"/>
        </w:rPr>
      </w:pPr>
      <w:r>
        <w:rPr>
          <w:rFonts w:hint="eastAsia" w:ascii="仿宋_GB2312" w:hAnsi="仿宋" w:eastAsia="仿宋_GB2312" w:cs="Times New Roman"/>
          <w:bCs/>
          <w:color w:val="000000" w:themeColor="text1"/>
          <w:kern w:val="2"/>
          <w:sz w:val="32"/>
          <w:szCs w:val="32"/>
          <w:lang w:val="en-US" w:eastAsia="zh-CN" w:bidi="ar-SA"/>
          <w14:textFill>
            <w14:solidFill>
              <w14:schemeClr w14:val="tx1"/>
            </w14:solidFill>
          </w14:textFill>
        </w:rPr>
        <w:t>新疆和田地区民丰县县城小学部门决算包括：新疆和田地区民丰县县城小学部门本级决算。下设5个科室，分别是：行政办、教务处、纪检室、思政办、总务处。民丰县县城小学无下属预算单位，民丰县县城小学编制数71人，实有人数152人，其中：在职91人，退休61人，离休0人；行政编制0人，参照公务员法管理事业人员0人，非参公事业人员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rPr>
      </w:pP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lang w:val="en-US" w:eastAsia="zh-CN"/>
        </w:rPr>
        <w:t>1</w:t>
      </w:r>
      <w:r>
        <w:rPr>
          <w:rFonts w:hint="eastAsia" w:ascii="仿宋" w:hAnsi="仿宋" w:eastAsia="仿宋"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2022年城乡义务教育项目直达资金（公用经费）：本校是1所义务教育阶段学校，本所有1676名学生、每生每年650元的标准进行公用经费补贴。通过项目的实施，有效减轻学生家庭负担，改善学校办学条件，提升学生身体素质</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w:t>
      </w: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）2022年城乡义务教育项目直达资金的通知</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营养改善项目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w:t>
      </w:r>
      <w:r>
        <w:rPr>
          <w:rFonts w:hint="eastAsia" w:ascii="仿宋_GB2312" w:hAnsi="仿宋" w:eastAsia="仿宋_GB2312" w:cs="Times New Roman"/>
          <w:bCs/>
          <w:color w:val="auto"/>
          <w:sz w:val="32"/>
          <w:szCs w:val="32"/>
          <w:lang w:val="en-US" w:eastAsia="zh-CN"/>
        </w:rPr>
        <w:t>1</w:t>
      </w:r>
      <w:r>
        <w:rPr>
          <w:rFonts w:hint="eastAsia" w:ascii="仿宋_GB2312" w:hAnsi="仿宋" w:eastAsia="仿宋_GB2312" w:cs="Times New Roman"/>
          <w:bCs/>
          <w:color w:val="auto"/>
          <w:sz w:val="32"/>
          <w:szCs w:val="32"/>
        </w:rPr>
        <w:t>所义务教育阶段学校，本所有</w:t>
      </w:r>
      <w:r>
        <w:rPr>
          <w:rFonts w:hint="eastAsia" w:ascii="仿宋_GB2312" w:hAnsi="仿宋" w:eastAsia="仿宋_GB2312" w:cs="Times New Roman"/>
          <w:bCs/>
          <w:color w:val="auto"/>
          <w:sz w:val="32"/>
          <w:szCs w:val="32"/>
          <w:lang w:val="en-US" w:eastAsia="zh-CN"/>
        </w:rPr>
        <w:t>1676</w:t>
      </w:r>
      <w:r>
        <w:rPr>
          <w:rFonts w:hint="eastAsia" w:ascii="仿宋_GB2312" w:hAnsi="仿宋" w:eastAsia="仿宋_GB2312" w:cs="Times New Roman"/>
          <w:bCs/>
          <w:color w:val="auto"/>
          <w:sz w:val="32"/>
          <w:szCs w:val="32"/>
        </w:rPr>
        <w:t>名学生、每生每年1000元的标准进行营养改善补贴。通过项目的实施，有效减轻学生家庭负担，改善学校办学条件，提升学生身体素质。</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3</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2022年教育直达资金（公用经费）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本校是1所义务教育阶段学校，本所有1676名学生、每生每年650元的标准进行公用经费补贴。通过项目的实施，有效减轻学生家庭负担，改善学校办学条件，提升学生身体素质。</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lang w:val="en-US" w:eastAsia="zh-CN"/>
        </w:rPr>
      </w:pPr>
      <w:r>
        <w:rPr>
          <w:rFonts w:hint="eastAsia" w:ascii="仿宋_GB2312" w:hAnsi="仿宋" w:eastAsia="仿宋_GB2312" w:cs="Times New Roman"/>
          <w:bCs/>
          <w:color w:val="auto"/>
          <w:sz w:val="32"/>
          <w:szCs w:val="32"/>
          <w:lang w:val="en-US" w:eastAsia="zh-CN"/>
        </w:rPr>
        <w:t>（4）县级配套教师培训经费：为大力实施教育优先发展战略，全面贯彻党的教育方针，提升我校教师教育教学能力，我校将为37名教师开展12次培训。 目标2：通过定期不定期的教师培训工作，提高教师工作的积极性，促进教学，全面提升教育教学质量，增强教师教书育人的责任感，促进全县各学段教育教学质量的全面提升。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rPr>
      </w:pPr>
      <w:r>
        <w:rPr>
          <w:rFonts w:hint="eastAsia" w:ascii="仿宋_GB2312" w:hAnsi="仿宋" w:eastAsia="仿宋_GB2312" w:cs="Times New Roman"/>
          <w:bCs/>
          <w:color w:val="auto"/>
          <w:kern w:val="2"/>
          <w:sz w:val="32"/>
          <w:szCs w:val="32"/>
          <w:lang w:val="en-US" w:eastAsia="zh-CN" w:bidi="ar-SA"/>
        </w:rPr>
        <w:t>（5）县配套用公费项目：主要用于保障我校1676名学生的正常运转，按照每人每年39元进行补助。通过项目的实施，有效保障学校正常运转，同时提供给师生安全舒适的教学和学习环境。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rPr>
      </w:pPr>
      <w:r>
        <w:rPr>
          <w:rFonts w:hint="eastAsia" w:ascii="仿宋_GB2312" w:hAnsi="仿宋" w:eastAsia="仿宋_GB2312" w:cs="Times New Roman"/>
          <w:bCs/>
          <w:color w:val="auto"/>
          <w:kern w:val="2"/>
          <w:sz w:val="32"/>
          <w:szCs w:val="32"/>
          <w:lang w:val="en-US" w:eastAsia="zh-CN" w:bidi="ar-SA"/>
        </w:rPr>
        <w:t>（6）2022年教育直达资金（第二批营养膳食补助）：本校义务教育阶段学校，本所有1676名学生、每生每年1000元的标准进行营养改善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2063.88万元，预算数（调整后）212.01万元，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1933.49万元，执行率97.47%。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72.2万元，预算数（调整后）72.21万元，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61万元，执行率84.48%。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县城小学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1933.54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1933.49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0.05万元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1933.54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县城小学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72.21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84.48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县城小学</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8.66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w:t>
            </w:r>
            <w:r>
              <w:rPr>
                <w:rFonts w:hint="eastAsia" w:ascii="Calibri" w:hAnsi="Calibri" w:cs="Calibri"/>
                <w:i w:val="0"/>
                <w:color w:val="000000"/>
                <w:kern w:val="0"/>
                <w:sz w:val="24"/>
                <w:szCs w:val="24"/>
                <w:u w:val="none"/>
                <w:lang w:val="en-US" w:eastAsia="zh-CN" w:bidi="ar"/>
              </w:rPr>
              <w:t>公用</w:t>
            </w:r>
            <w:r>
              <w:rPr>
                <w:rFonts w:hint="default" w:ascii="Calibri" w:hAnsi="Calibri" w:eastAsia="宋体" w:cs="Calibri"/>
                <w:i w:val="0"/>
                <w:color w:val="000000"/>
                <w:kern w:val="0"/>
                <w:sz w:val="24"/>
                <w:szCs w:val="24"/>
                <w:u w:val="none"/>
                <w:lang w:val="en-US" w:eastAsia="zh-CN" w:bidi="ar"/>
              </w:rPr>
              <w:t>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6.54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2022年城乡义务教育项目直达资金的通知（营养餐补助）</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55.64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2022年城乡义务教育项目直达资金（公用经费）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4.59</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2022年教育直达资金（农村学生营养膳食补助）</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11.21</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年教育直达资金（公用经费）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0.77</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县城小学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1933.54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1933.49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0.05万元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1933.54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72.21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84.48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2022年城乡义务教育项目直达资金的通知（营养餐补助）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55.64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55.64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4.59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4.59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2022年教育直达资金（农村学生营养膳食补助）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11.21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年教育直达资金（公用经费）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72.21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61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84.48%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2022年教育直达资金（农村学生营养膳食补助）</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享受资助补助政策学生数，预期指标是大于等于1676人，年中绩效运行监控完成值是1676人，本次评价实际完成值是1676人，达到预期目标。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2023年度部门整体支出绩效自评综合得分99.87分，评价结果为“优”。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273307"/>
    <w:rsid w:val="025F60B9"/>
    <w:rsid w:val="02656D15"/>
    <w:rsid w:val="02965E8D"/>
    <w:rsid w:val="02FB6F8B"/>
    <w:rsid w:val="03163578"/>
    <w:rsid w:val="037F0728"/>
    <w:rsid w:val="03D360F1"/>
    <w:rsid w:val="03D6322A"/>
    <w:rsid w:val="04440438"/>
    <w:rsid w:val="04D06597"/>
    <w:rsid w:val="04E4679D"/>
    <w:rsid w:val="052C3A5E"/>
    <w:rsid w:val="053C376F"/>
    <w:rsid w:val="056B2C09"/>
    <w:rsid w:val="05731446"/>
    <w:rsid w:val="05CB6613"/>
    <w:rsid w:val="05FF16D0"/>
    <w:rsid w:val="065340BF"/>
    <w:rsid w:val="06696209"/>
    <w:rsid w:val="071976DD"/>
    <w:rsid w:val="07505305"/>
    <w:rsid w:val="079B1AB6"/>
    <w:rsid w:val="08CC471F"/>
    <w:rsid w:val="098242D9"/>
    <w:rsid w:val="09BB33DC"/>
    <w:rsid w:val="0A417E47"/>
    <w:rsid w:val="0A662AB3"/>
    <w:rsid w:val="0A86769F"/>
    <w:rsid w:val="0B6F48AA"/>
    <w:rsid w:val="0BC64CF0"/>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F017F5"/>
    <w:rsid w:val="120D1EEA"/>
    <w:rsid w:val="123F73AE"/>
    <w:rsid w:val="127423D4"/>
    <w:rsid w:val="12D07449"/>
    <w:rsid w:val="12E977B3"/>
    <w:rsid w:val="13072B53"/>
    <w:rsid w:val="1438599A"/>
    <w:rsid w:val="14775B53"/>
    <w:rsid w:val="14F27B7B"/>
    <w:rsid w:val="163A6974"/>
    <w:rsid w:val="172267ED"/>
    <w:rsid w:val="18344297"/>
    <w:rsid w:val="188924B6"/>
    <w:rsid w:val="189E58C4"/>
    <w:rsid w:val="197406AD"/>
    <w:rsid w:val="1999359E"/>
    <w:rsid w:val="19E24A4E"/>
    <w:rsid w:val="19F6744F"/>
    <w:rsid w:val="19FE0A5D"/>
    <w:rsid w:val="1B1332CA"/>
    <w:rsid w:val="1BFA024C"/>
    <w:rsid w:val="1C94135C"/>
    <w:rsid w:val="1CBE5A05"/>
    <w:rsid w:val="1CDE4763"/>
    <w:rsid w:val="1CFB4A3F"/>
    <w:rsid w:val="1D073223"/>
    <w:rsid w:val="1D312343"/>
    <w:rsid w:val="1D95187B"/>
    <w:rsid w:val="1DAF651A"/>
    <w:rsid w:val="1DD83B52"/>
    <w:rsid w:val="1F2E40D0"/>
    <w:rsid w:val="1F90448E"/>
    <w:rsid w:val="1F924506"/>
    <w:rsid w:val="1FBB36D6"/>
    <w:rsid w:val="200F4073"/>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E18B5"/>
    <w:rsid w:val="2D8F0F02"/>
    <w:rsid w:val="2DC21BBA"/>
    <w:rsid w:val="2DCC2272"/>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E1577B"/>
    <w:rsid w:val="3B275995"/>
    <w:rsid w:val="3B31606E"/>
    <w:rsid w:val="3BBF2075"/>
    <w:rsid w:val="3C1B2B4E"/>
    <w:rsid w:val="3D066B28"/>
    <w:rsid w:val="3E502FE6"/>
    <w:rsid w:val="3F9A26C0"/>
    <w:rsid w:val="3FD249C9"/>
    <w:rsid w:val="3FD35BB0"/>
    <w:rsid w:val="4004687B"/>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90A03E5"/>
    <w:rsid w:val="4CAD59B7"/>
    <w:rsid w:val="4CE26E4A"/>
    <w:rsid w:val="4CEE4B39"/>
    <w:rsid w:val="4D235B00"/>
    <w:rsid w:val="4D5352D2"/>
    <w:rsid w:val="4DE56F14"/>
    <w:rsid w:val="4F245112"/>
    <w:rsid w:val="50966E31"/>
    <w:rsid w:val="50AC5F11"/>
    <w:rsid w:val="50E644F7"/>
    <w:rsid w:val="50FC6FB1"/>
    <w:rsid w:val="510C3E14"/>
    <w:rsid w:val="51936956"/>
    <w:rsid w:val="51C70EA9"/>
    <w:rsid w:val="51EC08C3"/>
    <w:rsid w:val="529463CC"/>
    <w:rsid w:val="52DD0612"/>
    <w:rsid w:val="535401CD"/>
    <w:rsid w:val="53616619"/>
    <w:rsid w:val="5399032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C464E4E"/>
    <w:rsid w:val="5C47767B"/>
    <w:rsid w:val="5CC72C7C"/>
    <w:rsid w:val="5D7F5CA3"/>
    <w:rsid w:val="5DAB0D44"/>
    <w:rsid w:val="5E3C300C"/>
    <w:rsid w:val="5E807869"/>
    <w:rsid w:val="5EB12FFC"/>
    <w:rsid w:val="5EC119C1"/>
    <w:rsid w:val="5ECD3880"/>
    <w:rsid w:val="5EF13F01"/>
    <w:rsid w:val="5F4E1321"/>
    <w:rsid w:val="5FCF4505"/>
    <w:rsid w:val="60413014"/>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7133AB"/>
    <w:rsid w:val="67A46ABB"/>
    <w:rsid w:val="67A760D9"/>
    <w:rsid w:val="68141A48"/>
    <w:rsid w:val="68301DD3"/>
    <w:rsid w:val="689678DC"/>
    <w:rsid w:val="68E935B2"/>
    <w:rsid w:val="68F071D2"/>
    <w:rsid w:val="69226B8E"/>
    <w:rsid w:val="697650C9"/>
    <w:rsid w:val="697E7CC7"/>
    <w:rsid w:val="6990449C"/>
    <w:rsid w:val="6A3D62B1"/>
    <w:rsid w:val="6BF1756B"/>
    <w:rsid w:val="6C4770EF"/>
    <w:rsid w:val="6CC17A4F"/>
    <w:rsid w:val="6D920313"/>
    <w:rsid w:val="6DAF6739"/>
    <w:rsid w:val="6DE0371D"/>
    <w:rsid w:val="6E620CF2"/>
    <w:rsid w:val="6EC45659"/>
    <w:rsid w:val="6ECE0318"/>
    <w:rsid w:val="6F461069"/>
    <w:rsid w:val="6F56616E"/>
    <w:rsid w:val="6F5E1AA3"/>
    <w:rsid w:val="6F8D5764"/>
    <w:rsid w:val="6FC0465E"/>
    <w:rsid w:val="6FC63036"/>
    <w:rsid w:val="6FEC5765"/>
    <w:rsid w:val="702A415B"/>
    <w:rsid w:val="70AD31F0"/>
    <w:rsid w:val="70E9255F"/>
    <w:rsid w:val="71E830CF"/>
    <w:rsid w:val="72310225"/>
    <w:rsid w:val="72C87F7F"/>
    <w:rsid w:val="737D4F72"/>
    <w:rsid w:val="741F01E3"/>
    <w:rsid w:val="75E10FF1"/>
    <w:rsid w:val="763F556D"/>
    <w:rsid w:val="76434FBA"/>
    <w:rsid w:val="76570E0B"/>
    <w:rsid w:val="769A4E05"/>
    <w:rsid w:val="76D724E7"/>
    <w:rsid w:val="76D8191F"/>
    <w:rsid w:val="7772178F"/>
    <w:rsid w:val="78256FA1"/>
    <w:rsid w:val="78333936"/>
    <w:rsid w:val="78D32311"/>
    <w:rsid w:val="7912435D"/>
    <w:rsid w:val="7A362281"/>
    <w:rsid w:val="7B2A25EA"/>
    <w:rsid w:val="7B5A04B1"/>
    <w:rsid w:val="7BF40CDF"/>
    <w:rsid w:val="7C5764FD"/>
    <w:rsid w:val="7C723EE6"/>
    <w:rsid w:val="7C734CF6"/>
    <w:rsid w:val="7E4109C5"/>
    <w:rsid w:val="7EA70AA9"/>
    <w:rsid w:val="7F200B83"/>
    <w:rsid w:val="7F5D585A"/>
    <w:rsid w:val="7FCA0E68"/>
    <w:rsid w:val="7FD23705"/>
    <w:rsid w:val="7FFEF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