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民丰县人力资源和社会保障局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部门单位名称（公章）：民丰县人力资源和社会保障局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color w:val="auto"/>
          <w:sz w:val="32"/>
          <w:szCs w:val="32"/>
          <w:highlight w:val="none"/>
        </w:rPr>
        <w:t>（1）贯彻执行党和国家关于人力资源和社会保障工作的方针、政策和</w:t>
      </w:r>
      <w:r>
        <w:rPr>
          <w:rFonts w:hint="eastAsia" w:ascii="仿宋_GB2312" w:hAnsi="宋体" w:eastAsia="仿宋_GB2312"/>
          <w:b w:val="0"/>
          <w:bCs/>
          <w:color w:val="auto"/>
          <w:sz w:val="32"/>
          <w:szCs w:val="32"/>
          <w:highlight w:val="none"/>
          <w:lang w:eastAsia="zh-CN"/>
        </w:rPr>
        <w:t>法律法规</w:t>
      </w:r>
      <w:r>
        <w:rPr>
          <w:rFonts w:hint="eastAsia" w:ascii="仿宋_GB2312" w:hAnsi="宋体" w:eastAsia="仿宋_GB2312"/>
          <w:b w:val="0"/>
          <w:bCs/>
          <w:color w:val="auto"/>
          <w:sz w:val="32"/>
          <w:szCs w:val="32"/>
          <w:highlight w:val="none"/>
        </w:rPr>
        <w:t>、规章；</w:t>
      </w:r>
      <w:r>
        <w:rPr>
          <w:rFonts w:hint="eastAsia" w:ascii="仿宋_GB2312" w:hAnsi="宋体" w:eastAsia="仿宋_GB2312"/>
          <w:b w:val="0"/>
          <w:bCs/>
          <w:color w:val="auto"/>
          <w:sz w:val="32"/>
          <w:szCs w:val="32"/>
          <w:highlight w:val="none"/>
          <w:lang w:eastAsia="zh-CN"/>
        </w:rPr>
        <w:t>制定</w:t>
      </w:r>
      <w:r>
        <w:rPr>
          <w:rFonts w:hint="eastAsia" w:ascii="仿宋_GB2312" w:hAnsi="宋体" w:eastAsia="仿宋_GB2312"/>
          <w:b w:val="0"/>
          <w:bCs/>
          <w:color w:val="auto"/>
          <w:sz w:val="32"/>
          <w:szCs w:val="32"/>
          <w:highlight w:val="none"/>
        </w:rPr>
        <w:t>相应的政策措施及实施办法，并组织实施和监督检查。</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（2）负责编制全县人力资源和社会保障事业发展规划，拟订机关事业单位人事制度、全县人力资源制度改革方案，提请审议批准并组织实施。</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3）综合管理全县人才开发工作。会同有关部门拟订全县人才发展战略、规划和政策措施；负责指导和协调全县人才选拔、培养、引进项目的组织实施；会同有关部门拟订吸引外来人才（高层次人才、高技能人才）优惠政策和农村实用人才培养、激励政策；拟订全县人力资源市场发展规划，建立统一规范的人力资源市场，促进人力资源合理流动、有效配置；负责管理全县人才中介服务机构的审批，人才招聘广告内容的审核，招聘活动的监督管理。</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4）负责促进就业工作。拟订统筹城乡就业发展规划和政策，完善公共就业服务体系和就业援助制度；负责全县大中专毕业生离校后的就业指导和服务工作；建立健全全县就业、失业预测预警、监控分析制度；完善职业技能资格制度，统筹建立面向城乡劳动者的职业技术培训制度。</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5）负责统筹城乡社会保障体系。完善城乡社会保险政策；组织实施社会保险基金的预测预警分析；管理所属社会保险经办机构，负责社会保险服务体系建设；组织实施劳动能力鉴定、工伤认定，定点医疗机构和定点零售药店的资格认定。</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6）负责全县行政机关公务员综合管理。贯彻实施公务员分类、录用、考核、奖惩、任用、培训、辞退（辞职）、申诉、控告等政策规定；负责公务员和参照公务员法管理事业单位工作人员的考试录用工作；会同有关部门组织实施公务员年度考核和培训工作；综合管理政府表彰工作。</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（7）会同有关部门拟订事业单位工作人员管理实施办法；综合管理事业单位人员的聘用、考核、培训、奖惩以及公开招聘、岗位设置管理等工作。负责指导机关事业单位编外用工的规范管理。</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8）综合管理全县机关企事业单位的工资、福利工作。负责机关企事业单位人员工资晋升、调整的审核或审批；负责全县机关企事业单位退休人员待遇政策的落实，负责机关企事业单位人员工龄核准、退休的审批等工作；制定并公布本县企业工资指导价、最低工资标准，审查企业工资集体协商的协议，依法监督企业工资支付行为。</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9）综合管理全县专业技术人员。组织拟订专业技术人员管理和继续教育政策措施；牵头推进深化职称制度改革，负责全县专业技术人员的资格评价和资格考试工作；组织实施专业技术职业资格制度和机关事业单位工人技术等级考核、鉴定工作。</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（10）负责劳动人事争议、调解、仲裁工作。完善各类企事业单位劳动关系协调机制；负责对全县企事业单位人事劳动调解组织和乡镇劳动关系协调委员会的业务指导和人员培训。</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（11）综合管理全县劳动保护工作。组织实施机关企事业职工工作时间、休息休假，职工福利制度和消除非法使用童工政策及女工、未成年工特殊劳动保护政策；组织实施劳动监察、协调劳动者维权工作，并依照</w:t>
      </w:r>
      <w:r>
        <w:rPr>
          <w:rFonts w:hint="eastAsia" w:ascii="仿宋_GB2312" w:hAnsi="宋体" w:eastAsia="仿宋_GB2312"/>
          <w:b w:val="0"/>
          <w:bCs/>
          <w:color w:val="auto"/>
          <w:sz w:val="32"/>
          <w:szCs w:val="32"/>
          <w:highlight w:val="none"/>
          <w:lang w:eastAsia="zh-CN"/>
        </w:rPr>
        <w:t>法律法规</w:t>
      </w:r>
      <w:r>
        <w:rPr>
          <w:rFonts w:hint="eastAsia" w:ascii="仿宋_GB2312" w:hAnsi="宋体" w:eastAsia="仿宋_GB2312"/>
          <w:b w:val="0"/>
          <w:bCs/>
          <w:color w:val="auto"/>
          <w:sz w:val="32"/>
          <w:szCs w:val="32"/>
          <w:highlight w:val="none"/>
        </w:rPr>
        <w:t>进行监督检查和对违法行为</w:t>
      </w:r>
      <w:r>
        <w:rPr>
          <w:rFonts w:hint="eastAsia" w:ascii="仿宋_GB2312" w:hAnsi="宋体" w:eastAsia="仿宋_GB2312"/>
          <w:b w:val="0"/>
          <w:bCs/>
          <w:color w:val="auto"/>
          <w:sz w:val="32"/>
          <w:szCs w:val="32"/>
          <w:highlight w:val="none"/>
          <w:lang w:eastAsia="zh-CN"/>
        </w:rPr>
        <w:t>作出</w:t>
      </w:r>
      <w:r>
        <w:rPr>
          <w:rFonts w:hint="eastAsia" w:ascii="仿宋_GB2312" w:hAnsi="宋体" w:eastAsia="仿宋_GB2312"/>
          <w:b w:val="0"/>
          <w:bCs/>
          <w:color w:val="auto"/>
          <w:sz w:val="32"/>
          <w:szCs w:val="32"/>
          <w:highlight w:val="none"/>
        </w:rPr>
        <w:t>处罚。</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（12）负责全县军队转业干部和随军家属接收安置工作。落实军队转业干部教育培训工作，做好企业军队转业干部、</w:t>
      </w:r>
      <w:r>
        <w:rPr>
          <w:rFonts w:hint="eastAsia" w:ascii="仿宋_GB2312" w:hAnsi="宋体" w:eastAsia="仿宋_GB2312"/>
          <w:b w:val="0"/>
          <w:bCs/>
          <w:color w:val="auto"/>
          <w:sz w:val="32"/>
          <w:szCs w:val="32"/>
          <w:highlight w:val="none"/>
          <w:lang w:eastAsia="zh-CN"/>
        </w:rPr>
        <w:t>政</w:t>
      </w:r>
      <w:r>
        <w:rPr>
          <w:rFonts w:hint="eastAsia" w:ascii="仿宋_GB2312" w:hAnsi="宋体" w:eastAsia="仿宋_GB2312"/>
          <w:b w:val="0"/>
          <w:bCs/>
          <w:color w:val="auto"/>
          <w:sz w:val="32"/>
          <w:szCs w:val="32"/>
          <w:highlight w:val="none"/>
        </w:rPr>
        <w:t>企干部解困和稳定工作，负责自主择业军队转业干部管理服务工作。</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（13）统筹全县人力资源和社会保障工作平台建设和管理工作。</w:t>
      </w:r>
      <w:r>
        <w:rPr>
          <w:rFonts w:hint="eastAsia" w:ascii="仿宋_GB2312" w:hAnsi="宋体" w:eastAsia="仿宋_GB2312"/>
          <w:b w:val="0"/>
          <w:bCs/>
          <w:color w:val="auto"/>
          <w:sz w:val="32"/>
          <w:szCs w:val="32"/>
          <w:highlight w:val="none"/>
        </w:rPr>
        <w:br w:type="textWrapping"/>
      </w:r>
      <w:r>
        <w:rPr>
          <w:rFonts w:hint="eastAsia" w:ascii="仿宋_GB2312" w:hAnsi="宋体" w:eastAsia="仿宋_GB2312"/>
          <w:b w:val="0"/>
          <w:bCs/>
          <w:color w:val="auto"/>
          <w:sz w:val="32"/>
          <w:szCs w:val="32"/>
          <w:highlight w:val="none"/>
        </w:rPr>
        <w:t>（14）承办县政府交办的其他事项。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Cs/>
          <w:color w:val="auto"/>
          <w:sz w:val="32"/>
          <w:szCs w:val="32"/>
          <w:highlight w:val="none"/>
          <w:lang w:eastAsia="zh-CN"/>
        </w:rPr>
      </w:pPr>
      <w:r>
        <w:rPr>
          <w:rFonts w:hint="eastAsia" w:ascii="仿宋_GB2312" w:hAnsi="宋体" w:eastAsia="仿宋_GB2312"/>
          <w:b w:val="0"/>
          <w:bCs/>
          <w:color w:val="auto"/>
          <w:sz w:val="32"/>
          <w:szCs w:val="32"/>
          <w:highlight w:val="none"/>
        </w:rPr>
        <w:t>民丰县人力资源和社会保障局无下属预算单位，下设4个处室，分别是：社会保险中心、人事和劳动仲裁服务中心、劳动监察大队、公共就业服务中心。单位编制数22人，实有人数32人，其中：在职 27人，增加4人；退休5人，增加0人；离休0人，增加0人。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根据全县人民政府工作安排，全力推进人社精准扶贫工作，加大就业创新扶贫；提高就业困难人员实现就业和高校毕业生就业率，通过开展职业技能培训、就业等服务大于等于1800就业援助和兜底帮扶，坚持服务、培训、维权三位一体，促进农民工就业创业，巩固脱贫攻坚成果。</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目标2：负责促进就业工作、统筹建立覆盖城乡的社会保障体系，保障全县69名公益性岗位人员工资和社保正常发放；</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保障学校今年的不低于1800人的培训任务的顺利完成；保障学校教学工作的正常开展，确保学生免费入学，培养应用型人才和具有一定的专业知识技能型社会主义建设者和劳动者；通过技能培训，提升了学员的就业能力和社会竞争力，为社会提供实用人才。</w:t>
      </w:r>
    </w:p>
    <w:p>
      <w:pPr>
        <w:spacing w:line="540" w:lineRule="exact"/>
        <w:ind w:firstLine="564" w:firstLineChars="181"/>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目标4：解决退休干部后顾之忧，保障干部的生活水平。</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1140万元，预算数（调整后）1779.13万元，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1779.13万元，执行率100%。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257.06万元，预算数（调整后）18.11万元，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18.11万元，执行率100%。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664.5万元，预算数（调整后）680.11万元，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679.99万元，执行率99.98%。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208.18万元，预算数（调整后）151.3万元，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151.3万元，执行率100%。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680.11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590.06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89.93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679.99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138.46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109.85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79.33</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138.46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109.85</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2391.55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2244.19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人力资源和社会保障局</w:t>
      </w:r>
      <w:r>
        <w:rPr>
          <w:rFonts w:hint="eastAsia" w:hAnsi="方正楷体简体"/>
          <w:color w:val="auto"/>
          <w:highlight w:val="none"/>
        </w:rPr>
        <w:t>项目支出共涉及</w:t>
      </w:r>
      <w:r>
        <w:rPr>
          <w:rFonts w:hint="eastAsia" w:hAnsi="方正楷体简体"/>
          <w:color w:val="auto"/>
          <w:highlight w:val="none"/>
          <w:lang w:val="en-US" w:eastAsia="zh-CN"/>
        </w:rPr>
        <w:t>16</w:t>
      </w:r>
      <w:r>
        <w:rPr>
          <w:rFonts w:hint="eastAsia" w:hAnsi="方正楷体简体"/>
          <w:color w:val="auto"/>
          <w:highlight w:val="none"/>
        </w:rPr>
        <w:t>个项目，分别为：</w:t>
      </w:r>
      <w:r>
        <w:rPr>
          <w:rFonts w:hint="eastAsia" w:hAnsi="方正楷体简体"/>
          <w:b/>
          <w:color w:val="auto"/>
          <w:highlight w:val="none"/>
        </w:rPr>
        <w:t>（</w:t>
      </w:r>
      <w:r>
        <w:rPr>
          <w:rFonts w:hint="eastAsia" w:hAnsi="方正楷体简体"/>
          <w:b/>
          <w:color w:val="auto"/>
          <w:highlight w:val="none"/>
          <w:lang w:val="en-US" w:eastAsia="zh-CN"/>
        </w:rPr>
        <w:t>由于存在单位预算项目按“支出功能分类”被计算进基本支出中，为保证数据真实准确，部门单位项目均按照部门单位财务决算表Z05-2项目支出决算明细表来统计，同类项目会进行合并</w:t>
      </w:r>
      <w:r>
        <w:rPr>
          <w:rFonts w:hint="eastAsia" w:hAnsi="方正楷体简体"/>
          <w:b/>
          <w:color w:val="auto"/>
          <w:highlight w:val="none"/>
        </w:rPr>
        <w:t>）</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三支一扶高校毕业生专项资金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80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普惠金融发展专项资金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50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w:t>
            </w:r>
            <w:r>
              <w:rPr>
                <w:rFonts w:hint="eastAsia" w:ascii="宋体" w:hAnsi="宋体" w:cs="宋体"/>
                <w:i w:val="0"/>
                <w:color w:val="auto"/>
                <w:kern w:val="0"/>
                <w:sz w:val="22"/>
                <w:szCs w:val="22"/>
                <w:highlight w:val="none"/>
                <w:u w:val="none"/>
                <w:lang w:val="en-US" w:eastAsia="zh-CN" w:bidi="ar"/>
              </w:rPr>
              <w:t>直达资金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中央就业补助资金</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rPr>
            </w:pPr>
            <w:r>
              <w:rPr>
                <w:rFonts w:hint="eastAsia" w:ascii="宋体" w:hAnsi="宋体" w:cs="宋体"/>
                <w:i w:val="0"/>
                <w:color w:val="auto"/>
                <w:kern w:val="0"/>
                <w:sz w:val="22"/>
                <w:szCs w:val="22"/>
                <w:highlight w:val="none"/>
                <w:u w:val="none"/>
                <w:lang w:val="en-US" w:eastAsia="zh-CN" w:bidi="ar"/>
              </w:rPr>
              <w:t>1388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中央城乡养老保险补助</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208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脱贫攻坚乡村振兴衔接资金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385.75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乡村振兴衔接资金</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公共实训基地可研报告编制费</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4.98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密集型企业专项资金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17.76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普惠金融发展专项资金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自治区直达资金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自治区城乡养老保险补助</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239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自治区直达资金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自治区就业补助资金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8.06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自治区社保经办机构业务经费</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自治区专项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纺织业专项资金结转</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99.94</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32"/>
                <w:szCs w:val="32"/>
                <w:highlight w:val="none"/>
                <w:lang w:val="en-US" w:eastAsia="zh-CN"/>
              </w:rPr>
            </w:pPr>
            <w:r>
              <w:rPr>
                <w:rFonts w:hint="eastAsia" w:ascii="宋体" w:hAnsi="宋体" w:eastAsia="宋体" w:cs="宋体"/>
                <w:i w:val="0"/>
                <w:color w:val="auto"/>
                <w:kern w:val="0"/>
                <w:sz w:val="22"/>
                <w:szCs w:val="22"/>
                <w:highlight w:val="none"/>
                <w:u w:val="none"/>
                <w:lang w:val="en-US" w:eastAsia="zh-CN" w:bidi="ar"/>
              </w:rPr>
              <w:t>其他资金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普惠进入发展资金结转</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28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其他资金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三支一扶高校毕业生专项资金</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80.19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其他资金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社保经办机构业务经费</w:t>
            </w:r>
          </w:p>
        </w:tc>
        <w:tc>
          <w:tcPr>
            <w:tcW w:w="2525" w:type="dxa"/>
            <w:vAlign w:val="center"/>
          </w:tcPr>
          <w:p>
            <w:pPr>
              <w:keepNext w:val="0"/>
              <w:keepLines w:val="0"/>
              <w:widowControl/>
              <w:suppressLineNumbers w:val="0"/>
              <w:jc w:val="righ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0.05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其他资金</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auto"/>
                <w:kern w:val="0"/>
                <w:sz w:val="22"/>
                <w:szCs w:val="22"/>
                <w:highlight w:val="none"/>
                <w:u w:val="none"/>
                <w:lang w:val="en-US" w:eastAsia="zh-CN" w:bidi="ar"/>
              </w:rPr>
              <w:t>劳动监察保障设备费</w:t>
            </w:r>
          </w:p>
        </w:tc>
        <w:tc>
          <w:tcPr>
            <w:tcW w:w="2525" w:type="dxa"/>
            <w:vAlign w:val="center"/>
          </w:tcPr>
          <w:p>
            <w:pPr>
              <w:keepNext w:val="0"/>
              <w:keepLines w:val="0"/>
              <w:widowControl/>
              <w:suppressLineNumbers w:val="0"/>
              <w:jc w:val="right"/>
              <w:textAlignment w:val="center"/>
              <w:rPr>
                <w:rFonts w:hint="default" w:ascii="仿宋_GB2312" w:hAnsi="仿宋" w:eastAsia="仿宋_GB2312" w:cs="宋体"/>
                <w:color w:val="auto"/>
                <w:sz w:val="32"/>
                <w:szCs w:val="32"/>
                <w:highlight w:val="none"/>
                <w:lang w:val="en-US" w:eastAsia="zh-CN"/>
              </w:rPr>
            </w:pPr>
            <w:r>
              <w:rPr>
                <w:rFonts w:hint="eastAsia" w:ascii="仿宋_GB2312" w:hAnsi="仿宋" w:eastAsia="仿宋_GB2312" w:cs="宋体"/>
                <w:color w:val="auto"/>
                <w:kern w:val="2"/>
                <w:sz w:val="22"/>
                <w:szCs w:val="22"/>
                <w:highlight w:val="none"/>
                <w:lang w:val="en-US" w:eastAsia="zh-CN" w:bidi="ar-SA"/>
              </w:rPr>
              <w:t>3.21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人力资源和社会保障局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680.12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590.06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90.06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679.99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2391.55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2244.19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8</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三支一扶高校毕业生专项资金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80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37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普惠金融发展专项资金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50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4"/>
                <w:szCs w:val="24"/>
                <w:highlight w:val="none"/>
                <w:lang w:val="en-US"/>
              </w:rPr>
            </w:pPr>
            <w:r>
              <w:rPr>
                <w:rFonts w:hint="eastAsia" w:ascii="宋体" w:hAnsi="宋体" w:eastAsia="宋体" w:cs="宋体"/>
                <w:i w:val="0"/>
                <w:color w:val="auto"/>
                <w:kern w:val="0"/>
                <w:sz w:val="22"/>
                <w:szCs w:val="22"/>
                <w:highlight w:val="none"/>
                <w:u w:val="none"/>
                <w:lang w:val="en-US" w:eastAsia="zh-CN" w:bidi="ar"/>
              </w:rPr>
              <w:t>中央</w:t>
            </w:r>
            <w:r>
              <w:rPr>
                <w:rFonts w:hint="eastAsia" w:ascii="宋体" w:hAnsi="宋体" w:cs="宋体"/>
                <w:i w:val="0"/>
                <w:color w:val="auto"/>
                <w:kern w:val="0"/>
                <w:sz w:val="22"/>
                <w:szCs w:val="22"/>
                <w:highlight w:val="none"/>
                <w:u w:val="none"/>
                <w:lang w:val="en-US" w:eastAsia="zh-CN" w:bidi="ar"/>
              </w:rPr>
              <w:t>直达资金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4.34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中央就业补助资金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cs="宋体"/>
                <w:i w:val="0"/>
                <w:color w:val="auto"/>
                <w:kern w:val="0"/>
                <w:sz w:val="22"/>
                <w:szCs w:val="22"/>
                <w:highlight w:val="none"/>
                <w:u w:val="none"/>
                <w:lang w:val="en-US" w:eastAsia="zh-CN" w:bidi="ar"/>
              </w:rPr>
              <w:t>1388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1329.3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中央城乡养老保险补助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208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center"/>
          </w:tcPr>
          <w:p>
            <w:pPr>
              <w:jc w:val="right"/>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auto"/>
                <w:kern w:val="0"/>
                <w:sz w:val="22"/>
                <w:szCs w:val="22"/>
                <w:highlight w:val="none"/>
                <w:u w:val="none"/>
                <w:lang w:val="en-US" w:eastAsia="zh-CN" w:bidi="ar"/>
              </w:rPr>
              <w:t>208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脱贫攻坚乡村振兴衔接资金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385.75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乡村振兴衔接资金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385.75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公共实训基地可研报告编制费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4.98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4.98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密集型企业专项资金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17.76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17.76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普惠金融发展专项资金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自治区</w:t>
            </w:r>
            <w:r>
              <w:rPr>
                <w:rFonts w:hint="eastAsia" w:ascii="宋体" w:hAnsi="宋体" w:cs="宋体"/>
                <w:i w:val="0"/>
                <w:color w:val="auto"/>
                <w:kern w:val="0"/>
                <w:sz w:val="22"/>
                <w:szCs w:val="22"/>
                <w:highlight w:val="none"/>
                <w:u w:val="none"/>
                <w:lang w:val="en-US" w:eastAsia="zh-CN" w:bidi="ar"/>
              </w:rPr>
              <w:t>直达资金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自治区城乡养老保险补助</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239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自治区</w:t>
            </w:r>
            <w:r>
              <w:rPr>
                <w:rFonts w:hint="eastAsia" w:ascii="宋体" w:hAnsi="宋体" w:cs="宋体"/>
                <w:i w:val="0"/>
                <w:color w:val="auto"/>
                <w:kern w:val="0"/>
                <w:sz w:val="22"/>
                <w:szCs w:val="22"/>
                <w:highlight w:val="none"/>
                <w:u w:val="none"/>
                <w:lang w:val="en-US" w:eastAsia="zh-CN" w:bidi="ar"/>
              </w:rPr>
              <w:t>直达资金</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239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自治区就业补助资金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8.06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8.06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自治区社保经办机构业务经费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仿宋_GB2312" w:hAnsi="仿宋" w:eastAsia="仿宋_GB2312" w:cs="宋体"/>
                <w:color w:val="auto"/>
                <w:kern w:val="0"/>
                <w:sz w:val="32"/>
                <w:szCs w:val="32"/>
                <w:highlight w:val="none"/>
              </w:rPr>
            </w:pPr>
            <w:r>
              <w:rPr>
                <w:rFonts w:hint="eastAsia" w:ascii="宋体" w:hAnsi="宋体" w:cs="宋体"/>
                <w:i w:val="0"/>
                <w:color w:val="auto"/>
                <w:kern w:val="0"/>
                <w:sz w:val="22"/>
                <w:szCs w:val="22"/>
                <w:highlight w:val="none"/>
                <w:u w:val="none"/>
                <w:lang w:val="en-US" w:eastAsia="zh-CN" w:bidi="ar"/>
              </w:rPr>
              <w:t>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2391.55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2244.19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（一）指标一：人事人才档案管理数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人事人才档案管理数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本次评价实际完成值是1039件，</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（二）指标二：职称评定数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职称评定数，预期指标是</w:t>
      </w:r>
      <w:r>
        <w:rPr>
          <w:rFonts w:hint="eastAsia" w:ascii="仿宋_GB2312" w:hAnsi="仿宋" w:eastAsia="仿宋_GB2312"/>
          <w:color w:val="auto"/>
          <w:sz w:val="32"/>
          <w:szCs w:val="32"/>
          <w:highlight w:val="none"/>
          <w:lang w:val="en-US" w:eastAsia="zh-CN"/>
        </w:rPr>
        <w:t>大于等于106人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106人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本次评价实际完成值是51人，</w:t>
      </w:r>
      <w:r>
        <w:rPr>
          <w:rFonts w:hint="eastAsia" w:ascii="仿宋_GB2312" w:hAnsi="仿宋" w:eastAsia="仿宋_GB2312"/>
          <w:color w:val="auto"/>
          <w:sz w:val="32"/>
          <w:szCs w:val="32"/>
          <w:highlight w:val="none"/>
        </w:rPr>
        <w:t>未达到预期目标。</w:t>
      </w:r>
      <w:r>
        <w:rPr>
          <w:rFonts w:hint="eastAsia" w:ascii="仿宋_GB2312" w:hAnsi="仿宋" w:eastAsia="仿宋_GB2312"/>
          <w:color w:val="auto"/>
          <w:sz w:val="32"/>
          <w:szCs w:val="32"/>
          <w:highlight w:val="none"/>
          <w:lang w:val="en-US" w:eastAsia="zh-CN"/>
        </w:rPr>
        <w:t>原因：年初预算不精准，人数按照实际需求存在变动。措施：加强年初预算精准度。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（三）指标三：城镇新增就业人数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城镇新增就业人数，预期指标是</w:t>
      </w:r>
      <w:r>
        <w:rPr>
          <w:rFonts w:hint="eastAsia" w:ascii="仿宋_GB2312" w:hAnsi="仿宋" w:eastAsia="仿宋_GB2312"/>
          <w:color w:val="auto"/>
          <w:sz w:val="32"/>
          <w:szCs w:val="32"/>
          <w:highlight w:val="none"/>
          <w:lang w:val="en-US" w:eastAsia="zh-CN"/>
        </w:rPr>
        <w:t>大于等于750人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530人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本次评价实际完成值是587人，</w:t>
      </w:r>
      <w:r>
        <w:rPr>
          <w:rFonts w:hint="eastAsia" w:ascii="仿宋_GB2312" w:hAnsi="仿宋" w:eastAsia="仿宋_GB2312"/>
          <w:color w:val="auto"/>
          <w:sz w:val="32"/>
          <w:szCs w:val="32"/>
          <w:highlight w:val="none"/>
        </w:rPr>
        <w:t>未达到预期目标。</w:t>
      </w:r>
      <w:r>
        <w:rPr>
          <w:rFonts w:hint="eastAsia" w:ascii="仿宋_GB2312" w:hAnsi="仿宋" w:eastAsia="仿宋_GB2312"/>
          <w:color w:val="auto"/>
          <w:sz w:val="32"/>
          <w:szCs w:val="32"/>
          <w:highlight w:val="none"/>
          <w:lang w:val="en-US" w:eastAsia="zh-CN"/>
        </w:rPr>
        <w:t>原因：年初预算不精准，人数按照实际需求存在变动。措施：加强年初预算精准度。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（四）指标四：各类职业技能培训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各类职业技能培训，预期指标是</w:t>
      </w:r>
      <w:r>
        <w:rPr>
          <w:rFonts w:hint="eastAsia" w:ascii="仿宋_GB2312" w:hAnsi="仿宋" w:eastAsia="仿宋_GB2312"/>
          <w:color w:val="auto"/>
          <w:sz w:val="32"/>
          <w:szCs w:val="32"/>
          <w:highlight w:val="none"/>
          <w:lang w:val="en-US" w:eastAsia="zh-CN"/>
        </w:rPr>
        <w:t>大于等于2803人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2803人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本次评价实际完成值是2301人，</w:t>
      </w:r>
      <w:r>
        <w:rPr>
          <w:rFonts w:hint="eastAsia" w:ascii="仿宋_GB2312" w:hAnsi="仿宋" w:eastAsia="仿宋_GB2312"/>
          <w:color w:val="auto"/>
          <w:sz w:val="32"/>
          <w:szCs w:val="32"/>
          <w:highlight w:val="none"/>
        </w:rPr>
        <w:t>未达到预期目标。</w:t>
      </w:r>
      <w:r>
        <w:rPr>
          <w:rFonts w:hint="eastAsia" w:ascii="仿宋_GB2312" w:hAnsi="仿宋" w:eastAsia="仿宋_GB2312"/>
          <w:color w:val="auto"/>
          <w:sz w:val="32"/>
          <w:szCs w:val="32"/>
          <w:highlight w:val="none"/>
          <w:lang w:val="en-US" w:eastAsia="zh-CN"/>
        </w:rPr>
        <w:t>原因：年初预算不精准，人数按照实际需求存在变动。措施：加强年初预算精准度。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（五）指标五：全区基本养老保险参保率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全区基本养老保险参保率，预期指标是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（六）指标六：应届普通高校毕业生就业落实率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应届普通高校毕业生就业落实率，预期指标是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（七）指标七：受理案件数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highlight w:val="none"/>
          <w:lang w:val="en-US" w:eastAsia="zh-CN"/>
        </w:rPr>
      </w:pPr>
      <w:r>
        <w:rPr>
          <w:rFonts w:hint="eastAsia" w:ascii="仿宋_GB2312" w:hAnsi="仿宋" w:eastAsia="仿宋_GB2312"/>
          <w:color w:val="auto"/>
          <w:sz w:val="32"/>
          <w:szCs w:val="32"/>
          <w:highlight w:val="none"/>
        </w:rPr>
        <w:t>受理案件数，预期指标是</w:t>
      </w:r>
      <w:r>
        <w:rPr>
          <w:rFonts w:hint="eastAsia" w:ascii="仿宋_GB2312" w:hAnsi="仿宋" w:eastAsia="仿宋_GB2312"/>
          <w:color w:val="auto"/>
          <w:sz w:val="32"/>
          <w:szCs w:val="32"/>
          <w:highlight w:val="none"/>
          <w:lang w:val="en-US" w:eastAsia="zh-CN"/>
        </w:rPr>
        <w:t>大于等于4件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w:t>
      </w:r>
      <w:r>
        <w:rPr>
          <w:rStyle w:val="9"/>
          <w:rFonts w:hint="eastAsia" w:ascii="仿宋_GB2312" w:hAnsi="楷体" w:eastAsia="仿宋_GB2312" w:cs="Times New Roman"/>
          <w:b w:val="0"/>
          <w:color w:val="auto"/>
          <w:spacing w:val="-4"/>
          <w:sz w:val="32"/>
          <w:szCs w:val="32"/>
          <w:highlight w:val="none"/>
          <w:lang w:val="en-US" w:eastAsia="zh-CN"/>
        </w:rPr>
        <w:t>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2023年度部门整体支出绩效自评综合得分98.21分，评价结果为“优”。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8CC471F"/>
    <w:rsid w:val="0B6F48AA"/>
    <w:rsid w:val="0D1922F1"/>
    <w:rsid w:val="0E737D65"/>
    <w:rsid w:val="10DF6E84"/>
    <w:rsid w:val="12D07449"/>
    <w:rsid w:val="1438599A"/>
    <w:rsid w:val="14F27B7B"/>
    <w:rsid w:val="189E58C4"/>
    <w:rsid w:val="197406AD"/>
    <w:rsid w:val="19F6744F"/>
    <w:rsid w:val="1D073223"/>
    <w:rsid w:val="1D95187B"/>
    <w:rsid w:val="1FBB36D6"/>
    <w:rsid w:val="200F4073"/>
    <w:rsid w:val="229016F2"/>
    <w:rsid w:val="24B86128"/>
    <w:rsid w:val="28F109D1"/>
    <w:rsid w:val="291F3644"/>
    <w:rsid w:val="2B4341EB"/>
    <w:rsid w:val="2DE92A48"/>
    <w:rsid w:val="2E913C19"/>
    <w:rsid w:val="2EF80FF5"/>
    <w:rsid w:val="307179D7"/>
    <w:rsid w:val="30C71428"/>
    <w:rsid w:val="31153648"/>
    <w:rsid w:val="311D1738"/>
    <w:rsid w:val="33D53037"/>
    <w:rsid w:val="350E12DF"/>
    <w:rsid w:val="35274E80"/>
    <w:rsid w:val="37213B34"/>
    <w:rsid w:val="3BBF2075"/>
    <w:rsid w:val="3FD249C9"/>
    <w:rsid w:val="3FD35BB0"/>
    <w:rsid w:val="433C35D6"/>
    <w:rsid w:val="44081B00"/>
    <w:rsid w:val="44202481"/>
    <w:rsid w:val="455525A3"/>
    <w:rsid w:val="4CE26E4A"/>
    <w:rsid w:val="4D5352D2"/>
    <w:rsid w:val="50966E31"/>
    <w:rsid w:val="51C70EA9"/>
    <w:rsid w:val="52DD0612"/>
    <w:rsid w:val="53B535AD"/>
    <w:rsid w:val="54942087"/>
    <w:rsid w:val="54F842B6"/>
    <w:rsid w:val="55525A1B"/>
    <w:rsid w:val="58CB188F"/>
    <w:rsid w:val="58FB7FD2"/>
    <w:rsid w:val="5B9757C7"/>
    <w:rsid w:val="5EB12FFC"/>
    <w:rsid w:val="5FCF4505"/>
    <w:rsid w:val="60810646"/>
    <w:rsid w:val="60A001E1"/>
    <w:rsid w:val="61533F93"/>
    <w:rsid w:val="64F5745B"/>
    <w:rsid w:val="656071F2"/>
    <w:rsid w:val="67163E36"/>
    <w:rsid w:val="67A760D9"/>
    <w:rsid w:val="69DBE40A"/>
    <w:rsid w:val="6BF1756B"/>
    <w:rsid w:val="6F5E1AA3"/>
    <w:rsid w:val="73273BC9"/>
    <w:rsid w:val="75E10FF1"/>
    <w:rsid w:val="769A4E05"/>
    <w:rsid w:val="7B5A04B1"/>
    <w:rsid w:val="7C5764FD"/>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5</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2024-10-11T19:41:22Z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