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民丰县若克雅乡人民政府</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部门单位名称（公章）：民丰县若克雅乡人民政府</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keepNext w:val="0"/>
        <w:keepLines w:val="0"/>
        <w:widowControl/>
        <w:suppressLineNumbers w:val="0"/>
        <w:ind w:firstLine="620" w:firstLineChars="200"/>
        <w:jc w:val="left"/>
        <w:rPr>
          <w:rFonts w:hint="eastAsia" w:ascii="仿宋" w:hAnsi="仿宋" w:eastAsia="仿宋" w:cs="仿宋"/>
        </w:rPr>
      </w:pPr>
      <w:r>
        <w:rPr>
          <w:rFonts w:hint="eastAsia" w:ascii="仿宋" w:hAnsi="仿宋" w:eastAsia="仿宋" w:cs="仿宋"/>
          <w:color w:val="000000"/>
          <w:kern w:val="0"/>
          <w:sz w:val="31"/>
          <w:szCs w:val="31"/>
          <w:lang w:val="en-US" w:eastAsia="zh-CN" w:bidi="ar"/>
        </w:rPr>
        <w:t>若克雅乡人民政府是国家基层的政权组织，依据《中华人民共和国地方各级人民代表大会和地方各级人民政府组织法》，主要围绕促进经济发展、强化公共服务、加强社会治理、推进基层民主等方面依法全面履行职能。若克雅乡党委政府宣传贯彻党和国家各项方针、政策和法律法规，执行党中央、上级党组织的决议、决定，在履行职责过程中坚持和加强党对本乡各项工作的集中统一领导，接受相关部门的业务指导。</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主要职责是：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（1）执行本级人民代表大会的决议和上级国家行政机关的决定和命令，发布决定和命令。</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 xml:space="preserve">（2）执行本行政区域内的经济和社会发展计划、预算，管理本行政区域内的经济、教育、科学、文化、卫生、体育事业和财政、民政、公安、司法行政、计划生育等行政工作。 </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（3）保护社会主义的全民所有的财产和劳动群众集体所有的财产，保护公民私人所有的合法财产，维护社会秩序，保障公民的人身权利、民主权利和其他权利。</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（4）加强党委自身建设和以党支部为核心的村级组织建设。按照干部管理权限，负责对乡村干部的教育、培养、管理、选拔、任用、考核和监督工作。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（5）保护各种经济组织的合法权益。</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（6）保障少数民族的权利和尊重少数民族的风俗习惯。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（7）办理上级人民政府交办的其他事项。</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widowControl/>
        <w:suppressLineNumbers w:val="0"/>
        <w:ind w:firstLine="620" w:firstLineChars="200"/>
        <w:jc w:val="left"/>
        <w:rPr>
          <w:rFonts w:hint="eastAsia" w:ascii="仿宋" w:hAnsi="仿宋" w:eastAsia="仿宋" w:cs="仿宋"/>
        </w:rPr>
      </w:pPr>
      <w:r>
        <w:rPr>
          <w:rFonts w:hint="eastAsia" w:ascii="仿宋" w:hAnsi="仿宋" w:eastAsia="仿宋" w:cs="仿宋"/>
          <w:color w:val="000000"/>
          <w:kern w:val="0"/>
          <w:sz w:val="31"/>
          <w:szCs w:val="31"/>
          <w:lang w:val="en-US" w:eastAsia="zh-CN" w:bidi="ar"/>
        </w:rPr>
        <w:t>根据主要职责，</w:t>
      </w:r>
      <w:r>
        <w:rPr>
          <w:rFonts w:hint="eastAsia" w:ascii="仿宋" w:hAnsi="仿宋" w:eastAsia="仿宋" w:cs="仿宋"/>
          <w:b/>
          <w:bCs/>
          <w:color w:val="000000"/>
          <w:kern w:val="0"/>
          <w:sz w:val="31"/>
          <w:szCs w:val="31"/>
          <w:lang w:val="en-US" w:eastAsia="zh-CN" w:bidi="ar"/>
        </w:rPr>
        <w:t>一是</w:t>
      </w:r>
      <w:r>
        <w:rPr>
          <w:rFonts w:hint="eastAsia" w:ascii="仿宋" w:hAnsi="仿宋" w:eastAsia="仿宋" w:cs="仿宋"/>
          <w:color w:val="000000"/>
          <w:kern w:val="0"/>
          <w:sz w:val="31"/>
          <w:szCs w:val="31"/>
          <w:lang w:val="en-US" w:eastAsia="zh-CN" w:bidi="ar"/>
        </w:rPr>
        <w:t>若克雅乡党委、政府机关设下列 5 个内设正股级综合性办公室： 党政办公室、党建办公室、经济发展办公室、社会事务办公室、综合执法办公室。</w:t>
      </w:r>
      <w:r>
        <w:rPr>
          <w:rFonts w:hint="eastAsia" w:ascii="仿宋" w:hAnsi="仿宋" w:eastAsia="仿宋" w:cs="仿宋"/>
          <w:b/>
          <w:bCs/>
          <w:color w:val="000000"/>
          <w:kern w:val="0"/>
          <w:sz w:val="31"/>
          <w:szCs w:val="31"/>
          <w:lang w:val="en-US" w:eastAsia="zh-CN" w:bidi="ar"/>
        </w:rPr>
        <w:t>二是</w:t>
      </w:r>
      <w:r>
        <w:rPr>
          <w:rFonts w:hint="eastAsia" w:ascii="仿宋" w:hAnsi="仿宋" w:eastAsia="仿宋" w:cs="仿宋"/>
          <w:color w:val="000000"/>
          <w:kern w:val="0"/>
          <w:sz w:val="31"/>
          <w:szCs w:val="31"/>
          <w:lang w:val="en-US" w:eastAsia="zh-CN" w:bidi="ar"/>
        </w:rPr>
        <w:t>民丰县监察委员会派出若克雅乡监察办公室，与乡纪委合署办公。</w:t>
      </w:r>
      <w:r>
        <w:rPr>
          <w:rFonts w:hint="eastAsia" w:ascii="仿宋" w:hAnsi="仿宋" w:eastAsia="仿宋" w:cs="仿宋"/>
          <w:b/>
          <w:bCs/>
          <w:color w:val="000000"/>
          <w:kern w:val="0"/>
          <w:sz w:val="31"/>
          <w:szCs w:val="31"/>
          <w:lang w:val="en-US" w:eastAsia="zh-CN" w:bidi="ar"/>
        </w:rPr>
        <w:t>三是</w:t>
      </w:r>
      <w:r>
        <w:rPr>
          <w:rFonts w:hint="eastAsia" w:ascii="仿宋" w:hAnsi="仿宋" w:eastAsia="仿宋" w:cs="仿宋"/>
          <w:color w:val="000000"/>
          <w:kern w:val="0"/>
          <w:sz w:val="31"/>
          <w:szCs w:val="31"/>
          <w:lang w:val="en-US" w:eastAsia="zh-CN" w:bidi="ar"/>
        </w:rPr>
        <w:t>人民武装部。人民武装部不计入机构个数。</w:t>
      </w:r>
      <w:r>
        <w:rPr>
          <w:rFonts w:hint="eastAsia" w:ascii="仿宋" w:hAnsi="仿宋" w:eastAsia="仿宋" w:cs="仿宋"/>
          <w:b/>
          <w:bCs/>
          <w:color w:val="000000"/>
          <w:kern w:val="0"/>
          <w:sz w:val="31"/>
          <w:szCs w:val="31"/>
          <w:lang w:val="en-US" w:eastAsia="zh-CN" w:bidi="ar"/>
        </w:rPr>
        <w:t>四是</w:t>
      </w:r>
      <w:r>
        <w:rPr>
          <w:rFonts w:hint="eastAsia" w:ascii="仿宋" w:hAnsi="仿宋" w:eastAsia="仿宋" w:cs="仿宋"/>
          <w:color w:val="000000"/>
          <w:kern w:val="0"/>
          <w:sz w:val="31"/>
          <w:szCs w:val="31"/>
          <w:lang w:val="en-US" w:eastAsia="zh-CN" w:bidi="ar"/>
        </w:rPr>
        <w:t>乡不设人大工作机构、政协工作机构，乡政协工作机构可明确 1 名党委副书记兼政协联络组组长。</w:t>
      </w:r>
      <w:r>
        <w:rPr>
          <w:rFonts w:hint="eastAsia" w:ascii="仿宋" w:hAnsi="仿宋" w:eastAsia="仿宋" w:cs="仿宋"/>
          <w:b/>
          <w:bCs/>
          <w:color w:val="000000"/>
          <w:kern w:val="0"/>
          <w:sz w:val="31"/>
          <w:szCs w:val="31"/>
          <w:lang w:val="en-US" w:eastAsia="zh-CN" w:bidi="ar"/>
        </w:rPr>
        <w:t>五是</w:t>
      </w:r>
      <w:r>
        <w:rPr>
          <w:rFonts w:hint="eastAsia" w:ascii="仿宋" w:hAnsi="仿宋" w:eastAsia="仿宋" w:cs="仿宋"/>
          <w:color w:val="000000"/>
          <w:kern w:val="0"/>
          <w:sz w:val="31"/>
          <w:szCs w:val="31"/>
          <w:lang w:val="en-US" w:eastAsia="zh-CN" w:bidi="ar"/>
        </w:rPr>
        <w:t>为加强和坚持对群团工作的领导，乡人大、工会、共青团、妇联等群众团体组织按有关章程设置。乡群团组织负责人按照法律和章程规定选举产生，一般由乡领导班子成员兼任。</w:t>
      </w:r>
      <w:r>
        <w:rPr>
          <w:rFonts w:hint="eastAsia" w:ascii="仿宋" w:hAnsi="仿宋" w:eastAsia="仿宋" w:cs="仿宋"/>
          <w:b/>
          <w:bCs/>
          <w:color w:val="000000"/>
          <w:kern w:val="0"/>
          <w:sz w:val="31"/>
          <w:szCs w:val="31"/>
          <w:lang w:val="en-US" w:eastAsia="zh-CN" w:bidi="ar"/>
        </w:rPr>
        <w:t>六是</w:t>
      </w:r>
      <w:r>
        <w:rPr>
          <w:rFonts w:hint="eastAsia" w:ascii="仿宋" w:hAnsi="仿宋" w:eastAsia="仿宋" w:cs="仿宋"/>
          <w:color w:val="000000"/>
          <w:kern w:val="0"/>
          <w:sz w:val="31"/>
          <w:szCs w:val="31"/>
          <w:lang w:val="en-US" w:eastAsia="zh-CN" w:bidi="ar"/>
        </w:rPr>
        <w:t xml:space="preserve">根据工作职责，设下列 6 个以若克雅乡党委、政府机关管理为主的事业单位： </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若克雅乡农业（畜牧业）发展服务中心、若克雅乡文体广电旅游服务中心、若克雅乡社会保障（民政）服务中心（退役军人服务站）、若克雅乡农村合作经济（统计）发展中心（财政所）、若克雅乡村镇规划建设发展中心（生态环境工作站）、若克雅乡综治中心（网格化服务中心）、</w:t>
      </w:r>
      <w:r>
        <w:rPr>
          <w:rFonts w:hint="eastAsia" w:ascii="仿宋" w:hAnsi="仿宋" w:eastAsia="仿宋" w:cs="仿宋"/>
          <w:b/>
          <w:bCs/>
          <w:color w:val="000000"/>
          <w:kern w:val="0"/>
          <w:sz w:val="31"/>
          <w:szCs w:val="31"/>
          <w:lang w:val="en-US" w:eastAsia="zh-CN" w:bidi="ar"/>
        </w:rPr>
        <w:t>七是其他</w:t>
      </w:r>
      <w:r>
        <w:rPr>
          <w:rFonts w:hint="eastAsia" w:ascii="仿宋" w:hAnsi="仿宋" w:eastAsia="仿宋" w:cs="仿宋"/>
          <w:color w:val="000000"/>
          <w:kern w:val="0"/>
          <w:sz w:val="31"/>
          <w:szCs w:val="31"/>
          <w:lang w:val="en-US" w:eastAsia="zh-CN" w:bidi="ar"/>
        </w:rPr>
        <w:t>事业单位设置：若克雅乡党校更名为若克雅乡党委党校。</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rPr>
          <w:rStyle w:val="9"/>
          <w:rFonts w:hint="eastAsia" w:ascii="仿宋" w:hAnsi="仿宋" w:eastAsia="仿宋" w:cs="仿宋"/>
          <w:b w:val="0"/>
          <w:color w:val="auto"/>
          <w:spacing w:val="-4"/>
          <w:sz w:val="32"/>
          <w:szCs w:val="32"/>
          <w:lang w:val="en-US" w:eastAsia="zh-CN"/>
        </w:rPr>
      </w:pPr>
      <w:r>
        <w:rPr>
          <w:rFonts w:hint="eastAsia" w:ascii="仿宋" w:hAnsi="仿宋" w:eastAsia="仿宋" w:cs="仿宋"/>
          <w:color w:val="000000"/>
          <w:kern w:val="0"/>
          <w:sz w:val="31"/>
          <w:szCs w:val="31"/>
          <w:lang w:val="en-US" w:eastAsia="zh-CN" w:bidi="ar"/>
        </w:rPr>
        <w:t>若克雅乡人民政府 2023 年工作总体要求是：在自治区党委、地委和县委的坚强正确领导下，若克雅乡党委、政府以习近平新时代中国特色社会主义思想为指导，坚定坚决贯彻落实第三次中央新疆座谈会精神，紧紧围绕社会稳定和长治久安总目标，全面落实维稳“组合拳”常态化措施，以抓基层打基础为抓手，凝心聚力巩固脱贫攻坚成果同乡村振兴有效衔接，大力培育支柱产业，扩大乡村振兴发展，加强和创新社会管理，着力改善民生，全面加强党的建设，夯实跨越式发展基础。</w:t>
      </w:r>
    </w:p>
    <w:p>
      <w:pPr>
        <w:pStyle w:val="12"/>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w:t>
      </w:r>
      <w:r>
        <w:rPr>
          <w:rFonts w:hint="eastAsia" w:ascii="仿宋_GB2312" w:hAnsi="仿宋" w:eastAsia="仿宋_GB2312" w:cs="宋体"/>
          <w:sz w:val="32"/>
          <w:szCs w:val="32"/>
          <w:lang w:val="en-US" w:eastAsia="zh-CN"/>
        </w:rPr>
        <w:t>若克雅乡人民政府村级组织运转经费</w:t>
      </w:r>
      <w:r>
        <w:rPr>
          <w:rFonts w:hint="eastAsia" w:ascii="仿宋_GB2312" w:hAnsi="仿宋" w:eastAsia="仿宋_GB2312" w:cs="Times New Roman"/>
          <w:bCs/>
          <w:color w:val="auto"/>
          <w:sz w:val="32"/>
          <w:szCs w:val="32"/>
        </w:rPr>
        <w:t>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解决</w:t>
      </w:r>
      <w:r>
        <w:rPr>
          <w:rFonts w:hint="eastAsia" w:ascii="仿宋_GB2312" w:hAnsi="仿宋" w:eastAsia="仿宋_GB2312" w:cs="Times New Roman"/>
          <w:bCs/>
          <w:color w:val="auto"/>
          <w:sz w:val="32"/>
          <w:szCs w:val="32"/>
          <w:lang w:val="en-US" w:eastAsia="zh-CN"/>
        </w:rPr>
        <w:t>7</w:t>
      </w:r>
      <w:r>
        <w:rPr>
          <w:rFonts w:hint="eastAsia" w:ascii="仿宋_GB2312" w:hAnsi="仿宋" w:eastAsia="仿宋_GB2312" w:cs="Times New Roman"/>
          <w:bCs/>
          <w:color w:val="auto"/>
          <w:sz w:val="32"/>
          <w:szCs w:val="32"/>
        </w:rPr>
        <w:t>个行政村后备干部工资、水电费、办公经费等费用。通过项目实施，全面落实好新农村组织建设的要求，满足</w:t>
      </w:r>
      <w:r>
        <w:rPr>
          <w:rFonts w:hint="eastAsia" w:ascii="仿宋_GB2312" w:hAnsi="仿宋" w:eastAsia="仿宋_GB2312" w:cs="Times New Roman"/>
          <w:bCs/>
          <w:color w:val="auto"/>
          <w:sz w:val="32"/>
          <w:szCs w:val="32"/>
          <w:lang w:eastAsia="zh-CN"/>
        </w:rPr>
        <w:t>村级</w:t>
      </w:r>
      <w:r>
        <w:rPr>
          <w:rFonts w:hint="eastAsia" w:ascii="仿宋_GB2312" w:hAnsi="仿宋" w:eastAsia="仿宋_GB2312" w:cs="Times New Roman"/>
          <w:bCs/>
          <w:color w:val="auto"/>
          <w:sz w:val="32"/>
          <w:szCs w:val="32"/>
        </w:rPr>
        <w:t>办公需要。不断加强组织建设</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加强村级治理</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为乡村振兴提供组织保障</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加强村干部队</w:t>
      </w:r>
      <w:r>
        <w:rPr>
          <w:rFonts w:hint="eastAsia" w:ascii="仿宋_GB2312" w:hAnsi="仿宋" w:eastAsia="仿宋_GB2312" w:cs="Times New Roman"/>
          <w:bCs/>
          <w:color w:val="auto"/>
          <w:sz w:val="32"/>
          <w:szCs w:val="32"/>
          <w:lang w:eastAsia="zh-CN"/>
        </w:rPr>
        <w:t>伍</w:t>
      </w:r>
      <w:r>
        <w:rPr>
          <w:rFonts w:hint="eastAsia" w:ascii="仿宋_GB2312" w:hAnsi="仿宋" w:eastAsia="仿宋_GB2312" w:cs="Times New Roman"/>
          <w:bCs/>
          <w:color w:val="auto"/>
          <w:sz w:val="32"/>
          <w:szCs w:val="32"/>
        </w:rPr>
        <w:t>建设，提高基层党组织服务群众能力。</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Times New Roman"/>
          <w:bCs/>
          <w:color w:val="auto"/>
          <w:kern w:val="2"/>
          <w:sz w:val="32"/>
          <w:szCs w:val="32"/>
          <w:lang w:val="en-US" w:eastAsia="zh-CN" w:bidi="ar-SA"/>
        </w:rPr>
      </w:pPr>
      <w:r>
        <w:rPr>
          <w:rFonts w:hint="eastAsia" w:ascii="仿宋_GB2312" w:hAnsi="仿宋" w:eastAsia="仿宋_GB2312" w:cs="宋体"/>
          <w:sz w:val="32"/>
          <w:szCs w:val="32"/>
          <w:lang w:val="en-US" w:eastAsia="zh-CN"/>
        </w:rPr>
        <w:t>（2）2023民丰县若克雅乡临时救助项目</w:t>
      </w:r>
      <w:r>
        <w:rPr>
          <w:rFonts w:hint="eastAsia" w:ascii="仿宋_GB2312" w:hAnsi="仿宋" w:eastAsia="仿宋_GB2312" w:cs="Times New Roman"/>
          <w:bCs/>
          <w:color w:val="auto"/>
          <w:kern w:val="2"/>
          <w:sz w:val="32"/>
          <w:szCs w:val="32"/>
          <w:lang w:val="en-US" w:eastAsia="zh-CN" w:bidi="ar-SA"/>
        </w:rPr>
        <w:t>：对我乡20名一般困难救助开展临时救助补助。通过此项目的实施，规范实施临时救助，实现及时高效、解急救难，让困难群众感受到国家的温暖，促进社会和谐进步。</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Times New Roman"/>
          <w:bCs/>
          <w:color w:val="auto"/>
          <w:sz w:val="32"/>
          <w:szCs w:val="32"/>
        </w:rPr>
      </w:pPr>
      <w:r>
        <w:rPr>
          <w:rFonts w:hint="eastAsia" w:ascii="仿宋_GB2312" w:hAnsi="仿宋" w:eastAsia="仿宋_GB2312" w:cs="宋体"/>
          <w:sz w:val="32"/>
          <w:szCs w:val="32"/>
          <w:lang w:val="en-US" w:eastAsia="zh-CN"/>
        </w:rPr>
        <w:t>（3）历史债务化解</w:t>
      </w:r>
      <w:r>
        <w:rPr>
          <w:rFonts w:hint="eastAsia" w:ascii="仿宋" w:hAnsi="仿宋" w:eastAsia="仿宋" w:cs="Times New Roman"/>
          <w:bCs/>
          <w:color w:val="auto"/>
          <w:sz w:val="32"/>
          <w:szCs w:val="32"/>
        </w:rPr>
        <w:t>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解决乡政府7个行政村历史债务化解等费用。通过项目实施，全面落实好新农村组织建设的要求，满足村级办公需要。不断加强组织建设，加强村级治理，为乡村振兴提供组织保障。加强村干部队伍建设，提高基层党组织服务群众能力。</w:t>
      </w:r>
    </w:p>
    <w:p>
      <w:pPr>
        <w:spacing w:line="600" w:lineRule="exact"/>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0万元，预算数（调整后）395.37万元，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395.37万元，执行率100%。（该笔资金为乡村振兴衔接资金）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2368.95万元，预算数（调整后）2771.25万元，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2558.68万元，执行率92.33%。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2771.25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2166.73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604.52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2558.68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92.33</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若克雅乡人民政府</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117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111.09</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94.94</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105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99.98</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12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11.11</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若克雅乡人民政府</w:t>
      </w:r>
      <w:r>
        <w:rPr>
          <w:rFonts w:hint="eastAsia" w:hAnsi="方正楷体简体"/>
          <w:color w:val="auto"/>
          <w:highlight w:val="none"/>
        </w:rPr>
        <w:t>项目支出共涉及</w:t>
      </w:r>
      <w:r>
        <w:rPr>
          <w:rFonts w:hint="eastAsia" w:hAnsi="方正楷体简体"/>
          <w:color w:val="auto"/>
          <w:highlight w:val="none"/>
          <w:lang w:val="en-US" w:eastAsia="zh-CN"/>
        </w:rPr>
        <w:t>3</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2023年民丰县</w:t>
            </w:r>
            <w:r>
              <w:rPr>
                <w:rFonts w:hint="eastAsia" w:ascii="Calibri" w:hAnsi="Calibri" w:cs="Calibri"/>
                <w:i w:val="0"/>
                <w:color w:val="000000"/>
                <w:kern w:val="0"/>
                <w:sz w:val="24"/>
                <w:szCs w:val="24"/>
                <w:u w:val="none"/>
                <w:lang w:val="en-US" w:eastAsia="zh-CN" w:bidi="ar"/>
              </w:rPr>
              <w:t>若克雅乡</w:t>
            </w:r>
            <w:r>
              <w:rPr>
                <w:rFonts w:hint="default" w:ascii="Calibri" w:hAnsi="Calibri" w:eastAsia="宋体" w:cs="Calibri"/>
                <w:i w:val="0"/>
                <w:color w:val="000000"/>
                <w:kern w:val="0"/>
                <w:sz w:val="24"/>
                <w:szCs w:val="24"/>
                <w:u w:val="none"/>
                <w:lang w:val="en-US" w:eastAsia="zh-CN" w:bidi="ar"/>
              </w:rPr>
              <w:t>临时救助项目</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年中追加（决算表中计入基本支出中）</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Calibri" w:hAnsi="Calibri" w:cs="Calibri"/>
                <w:i w:val="0"/>
                <w:color w:val="000000"/>
                <w:kern w:val="0"/>
                <w:sz w:val="24"/>
                <w:szCs w:val="24"/>
                <w:u w:val="none"/>
                <w:lang w:val="en-US" w:eastAsia="zh-CN" w:bidi="ar"/>
              </w:rPr>
              <w:t>若克雅乡</w:t>
            </w:r>
            <w:r>
              <w:rPr>
                <w:rFonts w:hint="default" w:ascii="Calibri" w:hAnsi="Calibri" w:eastAsia="宋体" w:cs="Calibri"/>
                <w:i w:val="0"/>
                <w:color w:val="000000"/>
                <w:kern w:val="0"/>
                <w:sz w:val="24"/>
                <w:szCs w:val="24"/>
                <w:u w:val="none"/>
                <w:lang w:val="en-US" w:eastAsia="zh-CN" w:bidi="ar"/>
              </w:rPr>
              <w:t>人民政府村级组织运转经费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eastAsia" w:ascii="Calibri" w:hAnsi="Calibri" w:cs="Calibri"/>
                <w:i w:val="0"/>
                <w:color w:val="000000"/>
                <w:kern w:val="0"/>
                <w:sz w:val="24"/>
                <w:szCs w:val="24"/>
                <w:u w:val="none"/>
                <w:lang w:val="en-US" w:eastAsia="zh-CN" w:bidi="ar"/>
              </w:rPr>
              <w:t>105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年初预算（决算表中计入基本支出中）</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2023年若克雅乡人民政府解决历史债务</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年中追加（决算表中计入基本支出中）</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2771.25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2166.73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604.52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2558.68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92.33</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_GB2312" w:cs="Times New Roman"/>
          <w:bCs/>
          <w:color w:val="auto"/>
          <w:sz w:val="32"/>
          <w:szCs w:val="32"/>
          <w:highlight w:val="none"/>
          <w:lang w:val="en-US" w:eastAsia="zh-CN"/>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default" w:ascii="楷体" w:hAnsi="楷体" w:eastAsia="楷体" w:cs="楷体"/>
          <w:b/>
          <w:bCs w:val="0"/>
          <w:color w:val="FF0000"/>
          <w:spacing w:val="-4"/>
          <w:sz w:val="32"/>
          <w:szCs w:val="32"/>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spacing w:val="-4"/>
          <w:sz w:val="32"/>
          <w:szCs w:val="32"/>
          <w:lang w:val="en-US" w:eastAsia="zh-CN"/>
        </w:rPr>
        <w:t>（一）指标一：项目执行率达到</w:t>
      </w:r>
    </w:p>
    <w:p>
      <w:pPr>
        <w:spacing w:line="540" w:lineRule="exact"/>
        <w:ind w:firstLine="624" w:firstLineChars="200"/>
        <w:rPr>
          <w:rFonts w:hint="default" w:ascii="仿宋_GB2312" w:hAnsi="方正楷体简体" w:eastAsia="仿宋_GB2312" w:cs="宋体"/>
          <w:b w:val="0"/>
          <w:bCs/>
          <w:sz w:val="32"/>
          <w:szCs w:val="32"/>
          <w:lang w:val="en-US" w:eastAsia="zh-CN"/>
        </w:rPr>
      </w:pPr>
      <w:r>
        <w:rPr>
          <w:rStyle w:val="9"/>
          <w:rFonts w:hint="eastAsia" w:ascii="楷体" w:hAnsi="楷体" w:eastAsia="仿宋" w:cs="楷体"/>
          <w:b w:val="0"/>
          <w:bCs/>
          <w:spacing w:val="-4"/>
          <w:sz w:val="32"/>
          <w:szCs w:val="32"/>
          <w:lang w:val="en-US" w:eastAsia="zh-CN"/>
        </w:rPr>
        <w:t>项目执行率达到</w:t>
      </w:r>
      <w:r>
        <w:rPr>
          <w:rFonts w:hint="eastAsia" w:ascii="仿宋_GB2312" w:hAnsi="仿宋" w:eastAsia="仿宋"/>
          <w:b w:val="0"/>
          <w:bCs/>
          <w:color w:val="000000" w:themeColor="text1"/>
          <w:sz w:val="32"/>
          <w:szCs w:val="32"/>
          <w14:textFill>
            <w14:solidFill>
              <w14:schemeClr w14:val="tx1"/>
            </w14:solidFill>
          </w14:textFill>
        </w:rPr>
        <w:t>，</w:t>
      </w:r>
      <w:r>
        <w:rPr>
          <w:rFonts w:hint="eastAsia" w:ascii="仿宋_GB2312" w:hAnsi="方正楷体简体" w:eastAsia="仿宋_GB2312" w:cs="宋体"/>
          <w:b w:val="0"/>
          <w:bCs/>
          <w:sz w:val="32"/>
          <w:szCs w:val="32"/>
          <w:lang w:val="en-US" w:eastAsia="zh-CN"/>
        </w:rPr>
        <w:t>预期指标是大于等于95%，年中绩效运行监控完成值是95%，本次评价实际完成值是99%，指标完成率是100%，达到预期目标。</w:t>
      </w:r>
    </w:p>
    <w:p>
      <w:pPr>
        <w:spacing w:line="540" w:lineRule="exact"/>
        <w:ind w:firstLine="565" w:firstLineChars="181"/>
        <w:rPr>
          <w:rStyle w:val="9"/>
          <w:rFonts w:hint="default"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（二）指标二：为民办实事件数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方正楷体简体" w:eastAsia="仿宋_GB2312" w:cs="宋体"/>
          <w:sz w:val="32"/>
          <w:szCs w:val="32"/>
          <w:lang w:val="en-US" w:eastAsia="zh-CN"/>
        </w:rPr>
        <w:t>为民办实事件数，预期指标是大于等于12件，年中绩效运行监控完成值是6件，本次评价实际完成值是12件，指标完成率是100%，达到预期目标。</w:t>
      </w:r>
    </w:p>
    <w:p>
      <w:pPr>
        <w:spacing w:line="540" w:lineRule="exact"/>
        <w:ind w:firstLine="565" w:firstLineChars="181"/>
        <w:rPr>
          <w:rStyle w:val="9"/>
          <w:rFonts w:hint="default"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（三）指标三：完成人居环境整治工作率</w:t>
      </w:r>
    </w:p>
    <w:p>
      <w:pPr>
        <w:spacing w:line="540" w:lineRule="exact"/>
        <w:ind w:firstLine="579" w:firstLineChars="181"/>
        <w:rPr>
          <w:rFonts w:hint="eastAsia" w:ascii="仿宋_GB2312" w:hAnsi="方正楷体简体" w:eastAsia="仿宋_GB2312" w:cs="宋体"/>
          <w:sz w:val="32"/>
          <w:szCs w:val="32"/>
          <w:lang w:val="en-US" w:eastAsia="zh-CN"/>
        </w:rPr>
      </w:pPr>
      <w:r>
        <w:rPr>
          <w:rFonts w:hint="eastAsia" w:ascii="仿宋_GB2312" w:hAnsi="方正楷体简体" w:eastAsia="仿宋_GB2312" w:cs="宋体"/>
          <w:sz w:val="32"/>
          <w:szCs w:val="32"/>
          <w:lang w:val="en-US" w:eastAsia="zh-CN"/>
        </w:rPr>
        <w:t>完成人居环境整治工作率，</w:t>
      </w:r>
      <w:r>
        <w:rPr>
          <w:rStyle w:val="9"/>
          <w:rFonts w:hint="eastAsia" w:ascii="仿宋_GB2312" w:hAnsi="楷体" w:eastAsia="仿宋_GB2312" w:cs="Times New Roman"/>
          <w:b w:val="0"/>
          <w:spacing w:val="-4"/>
          <w:sz w:val="32"/>
          <w:szCs w:val="32"/>
          <w:lang w:val="en-US" w:eastAsia="zh-CN"/>
        </w:rPr>
        <w:t>预</w:t>
      </w:r>
      <w:r>
        <w:rPr>
          <w:rFonts w:hint="eastAsia" w:ascii="仿宋_GB2312" w:hAnsi="仿宋" w:eastAsia="仿宋_GB2312"/>
          <w:color w:val="000000" w:themeColor="text1"/>
          <w:sz w:val="32"/>
          <w:szCs w:val="32"/>
          <w14:textFill>
            <w14:solidFill>
              <w14:schemeClr w14:val="tx1"/>
            </w14:solidFill>
          </w14:textFill>
        </w:rPr>
        <w:t>期指标是</w:t>
      </w:r>
      <w:r>
        <w:rPr>
          <w:rFonts w:hint="eastAsia" w:ascii="仿宋_GB2312" w:hAnsi="仿宋" w:eastAsia="仿宋_GB2312"/>
          <w:color w:val="000000" w:themeColor="text1"/>
          <w:sz w:val="32"/>
          <w:szCs w:val="32"/>
          <w:lang w:val="en-US" w:eastAsia="zh-CN"/>
          <w14:textFill>
            <w14:solidFill>
              <w14:schemeClr w14:val="tx1"/>
            </w14:solidFill>
          </w14:textFill>
        </w:rPr>
        <w:t>等</w:t>
      </w:r>
      <w:r>
        <w:rPr>
          <w:rFonts w:hint="eastAsia" w:ascii="仿宋_GB2312" w:hAnsi="方正楷体简体" w:eastAsia="仿宋_GB2312" w:cs="宋体"/>
          <w:sz w:val="32"/>
          <w:szCs w:val="32"/>
          <w:lang w:val="en-US" w:eastAsia="zh-CN"/>
        </w:rPr>
        <w:t>于96%，年中绩效运行监控完成值是96%，本次评价实际完成值是96%，指标完成率是100%，达到预期目标。</w:t>
      </w:r>
    </w:p>
    <w:p>
      <w:pPr>
        <w:numPr>
          <w:ilvl w:val="0"/>
          <w:numId w:val="2"/>
        </w:numPr>
        <w:spacing w:line="540" w:lineRule="exact"/>
        <w:ind w:firstLine="565" w:firstLineChars="181"/>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指标四：困难群众核查清理次数</w:t>
      </w:r>
    </w:p>
    <w:p>
      <w:pPr>
        <w:spacing w:line="540" w:lineRule="exact"/>
        <w:ind w:firstLine="579" w:firstLineChars="181"/>
        <w:rPr>
          <w:rFonts w:hint="eastAsia" w:ascii="仿宋_GB2312" w:hAnsi="方正楷体简体" w:eastAsia="仿宋_GB2312" w:cs="宋体"/>
          <w:sz w:val="32"/>
          <w:szCs w:val="32"/>
          <w:lang w:val="en-US" w:eastAsia="zh-CN"/>
        </w:rPr>
      </w:pPr>
      <w:r>
        <w:rPr>
          <w:rFonts w:hint="eastAsia" w:ascii="仿宋_GB2312" w:hAnsi="方正楷体简体" w:eastAsia="仿宋_GB2312" w:cs="宋体"/>
          <w:sz w:val="32"/>
          <w:szCs w:val="32"/>
          <w:lang w:val="en-US" w:eastAsia="zh-CN"/>
        </w:rPr>
        <w:t>困难群众核查清理次数，预期指标是大于等于174次，年中绩效运行监控完成值是87次，本次评价实际完成值是174次，指标完成率是100%，达到预期目标。</w:t>
      </w:r>
    </w:p>
    <w:p>
      <w:pPr>
        <w:numPr>
          <w:ilvl w:val="0"/>
          <w:numId w:val="2"/>
        </w:numPr>
        <w:spacing w:line="540" w:lineRule="exact"/>
        <w:ind w:firstLine="565" w:firstLineChars="181"/>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指标五：各类农牧民实用技能培训场次</w:t>
      </w:r>
    </w:p>
    <w:p>
      <w:pPr>
        <w:spacing w:line="540" w:lineRule="exact"/>
        <w:ind w:firstLine="579" w:firstLineChars="181"/>
        <w:rPr>
          <w:rFonts w:hint="eastAsia" w:ascii="仿宋_GB2312" w:hAnsi="方正楷体简体" w:eastAsia="仿宋_GB2312" w:cs="宋体"/>
          <w:sz w:val="32"/>
          <w:szCs w:val="32"/>
          <w:lang w:val="en-US" w:eastAsia="zh-CN"/>
        </w:rPr>
      </w:pPr>
      <w:r>
        <w:rPr>
          <w:rFonts w:hint="eastAsia" w:ascii="仿宋_GB2312" w:hAnsi="方正楷体简体" w:eastAsia="仿宋_GB2312" w:cs="宋体"/>
          <w:sz w:val="32"/>
          <w:szCs w:val="32"/>
          <w:lang w:val="en-US" w:eastAsia="zh-CN"/>
        </w:rPr>
        <w:t>各类农牧民实用技能培训场次，预期指标是大于等于2次，年中绩效运行监控完成值是1次，本次评价实际完成值是23次，指标完成率是100%，达到预期目标。</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（六）指标六：职业介绍和就业指导</w:t>
      </w:r>
    </w:p>
    <w:p>
      <w:pPr>
        <w:spacing w:line="540" w:lineRule="exact"/>
        <w:ind w:firstLine="579" w:firstLineChars="181"/>
        <w:rPr>
          <w:rFonts w:hint="eastAsia"/>
          <w:lang w:val="en-US" w:eastAsia="zh-CN"/>
        </w:rPr>
      </w:pPr>
      <w:r>
        <w:rPr>
          <w:rFonts w:hint="eastAsia" w:ascii="仿宋_GB2312" w:hAnsi="方正楷体简体" w:eastAsia="仿宋_GB2312" w:cs="宋体"/>
          <w:sz w:val="32"/>
          <w:szCs w:val="32"/>
          <w:lang w:val="en-US" w:eastAsia="zh-CN"/>
        </w:rPr>
        <w:t>职业介绍和就业指导，预期指标是大于等于4次，年中绩效运行监控完成值是2次，本次评价实际完成值是100%，指标完成率是100%，达到预期目标。</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（七）指标七：全乡基本养老、社保参保率</w:t>
      </w:r>
    </w:p>
    <w:p>
      <w:pPr>
        <w:spacing w:line="540" w:lineRule="exact"/>
        <w:ind w:firstLine="579" w:firstLineChars="181"/>
        <w:rPr>
          <w:rFonts w:hint="eastAsia" w:ascii="仿宋_GB2312" w:hAnsi="方正楷体简体" w:eastAsia="仿宋_GB2312" w:cs="宋体"/>
          <w:sz w:val="32"/>
          <w:szCs w:val="32"/>
          <w:lang w:val="en-US" w:eastAsia="zh-CN"/>
        </w:rPr>
      </w:pPr>
      <w:r>
        <w:rPr>
          <w:rFonts w:hint="eastAsia" w:ascii="仿宋_GB2312" w:hAnsi="方正楷体简体" w:eastAsia="仿宋_GB2312" w:cs="宋体"/>
          <w:sz w:val="32"/>
          <w:szCs w:val="32"/>
          <w:lang w:val="en-US" w:eastAsia="zh-CN"/>
        </w:rPr>
        <w:t>全乡基本养老、社保参保率等于100%，年中绩效运行监控完成值是100%，本次评价实际完成值是100%，指标完成率是100%，达到预期目标。</w:t>
      </w:r>
    </w:p>
    <w:p>
      <w:pPr>
        <w:numPr>
          <w:ilvl w:val="0"/>
          <w:numId w:val="0"/>
        </w:numPr>
        <w:spacing w:line="540" w:lineRule="exact"/>
        <w:ind w:firstLine="625" w:firstLineChars="200"/>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（八）指标八：职业介绍和就业指导率</w:t>
      </w:r>
    </w:p>
    <w:p>
      <w:pPr>
        <w:spacing w:line="540" w:lineRule="exact"/>
        <w:ind w:firstLine="579" w:firstLineChars="181"/>
        <w:rPr>
          <w:rFonts w:hint="eastAsia"/>
          <w:lang w:val="en-US" w:eastAsia="zh-CN"/>
        </w:rPr>
      </w:pPr>
      <w:r>
        <w:rPr>
          <w:rFonts w:hint="eastAsia" w:ascii="仿宋_GB2312" w:hAnsi="方正楷体简体" w:eastAsia="仿宋_GB2312" w:cs="宋体"/>
          <w:sz w:val="32"/>
          <w:szCs w:val="32"/>
          <w:lang w:val="en-US" w:eastAsia="zh-CN"/>
        </w:rPr>
        <w:t>职业介绍和就业指导率，预期指标是等于100%，年中绩效运行监控完成值是100%，本次评价实际完成值是100%，指标完成率是100%，达到预期目标。</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2023年度部门整体支出绩效自评综合得分99.33分，评价结果为“优”。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5E63F"/>
    <w:multiLevelType w:val="singleLevel"/>
    <w:tmpl w:val="64C5E63F"/>
    <w:lvl w:ilvl="0" w:tentative="0">
      <w:start w:val="4"/>
      <w:numFmt w:val="chineseCounting"/>
      <w:suff w:val="nothing"/>
      <w:lvlText w:val="（%1）"/>
      <w:lvlJc w:val="left"/>
      <w:rPr>
        <w:rFonts w:hint="eastAsia"/>
      </w:r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20B07BA"/>
    <w:rsid w:val="02656D15"/>
    <w:rsid w:val="04D06597"/>
    <w:rsid w:val="04E4679D"/>
    <w:rsid w:val="053C376F"/>
    <w:rsid w:val="056B2C09"/>
    <w:rsid w:val="05731446"/>
    <w:rsid w:val="05CB6613"/>
    <w:rsid w:val="065340BF"/>
    <w:rsid w:val="06696209"/>
    <w:rsid w:val="08CC471F"/>
    <w:rsid w:val="0AF06DD8"/>
    <w:rsid w:val="0B6F48AA"/>
    <w:rsid w:val="0BC64CF0"/>
    <w:rsid w:val="0C1013EF"/>
    <w:rsid w:val="0D1922F1"/>
    <w:rsid w:val="0D6310F9"/>
    <w:rsid w:val="0D9F0DF1"/>
    <w:rsid w:val="0E325CFD"/>
    <w:rsid w:val="0E737D65"/>
    <w:rsid w:val="0F0D7BE4"/>
    <w:rsid w:val="10DF6E84"/>
    <w:rsid w:val="11F017F5"/>
    <w:rsid w:val="123F73AE"/>
    <w:rsid w:val="127423D4"/>
    <w:rsid w:val="12D07449"/>
    <w:rsid w:val="1438599A"/>
    <w:rsid w:val="1463162E"/>
    <w:rsid w:val="14F27B7B"/>
    <w:rsid w:val="18344297"/>
    <w:rsid w:val="188924B6"/>
    <w:rsid w:val="189E58C4"/>
    <w:rsid w:val="197406AD"/>
    <w:rsid w:val="19F6744F"/>
    <w:rsid w:val="19FE0A5D"/>
    <w:rsid w:val="1B1332CA"/>
    <w:rsid w:val="1D073223"/>
    <w:rsid w:val="1D95187B"/>
    <w:rsid w:val="1F5E08FE"/>
    <w:rsid w:val="1F90448E"/>
    <w:rsid w:val="1FBB36D6"/>
    <w:rsid w:val="1FDC1D68"/>
    <w:rsid w:val="200F4073"/>
    <w:rsid w:val="229016F2"/>
    <w:rsid w:val="23593AFE"/>
    <w:rsid w:val="236F5373"/>
    <w:rsid w:val="23820713"/>
    <w:rsid w:val="24B86128"/>
    <w:rsid w:val="270F0BDD"/>
    <w:rsid w:val="280D59AD"/>
    <w:rsid w:val="28F109D1"/>
    <w:rsid w:val="291F3644"/>
    <w:rsid w:val="2AF77D81"/>
    <w:rsid w:val="2B043BBD"/>
    <w:rsid w:val="2B4341EB"/>
    <w:rsid w:val="2B7F75D4"/>
    <w:rsid w:val="2BE928BD"/>
    <w:rsid w:val="2D466FD5"/>
    <w:rsid w:val="2D7D2C72"/>
    <w:rsid w:val="2DE92A48"/>
    <w:rsid w:val="2E501733"/>
    <w:rsid w:val="2E913C19"/>
    <w:rsid w:val="2EE7129F"/>
    <w:rsid w:val="2EF80FF5"/>
    <w:rsid w:val="30385F04"/>
    <w:rsid w:val="307179D7"/>
    <w:rsid w:val="30A967BD"/>
    <w:rsid w:val="30C71428"/>
    <w:rsid w:val="31153648"/>
    <w:rsid w:val="311D1738"/>
    <w:rsid w:val="32650FE8"/>
    <w:rsid w:val="32F63DCB"/>
    <w:rsid w:val="32FC2857"/>
    <w:rsid w:val="333D2909"/>
    <w:rsid w:val="334B0733"/>
    <w:rsid w:val="33CD4111"/>
    <w:rsid w:val="33D53037"/>
    <w:rsid w:val="34583CA2"/>
    <w:rsid w:val="34E60BE0"/>
    <w:rsid w:val="350E12DF"/>
    <w:rsid w:val="35274E80"/>
    <w:rsid w:val="35446943"/>
    <w:rsid w:val="35752DE8"/>
    <w:rsid w:val="36E918C3"/>
    <w:rsid w:val="37213B34"/>
    <w:rsid w:val="38A61EBD"/>
    <w:rsid w:val="38BD6D70"/>
    <w:rsid w:val="394C217F"/>
    <w:rsid w:val="39AE43F5"/>
    <w:rsid w:val="3A560600"/>
    <w:rsid w:val="3A6433F2"/>
    <w:rsid w:val="3ABA302D"/>
    <w:rsid w:val="3B31606E"/>
    <w:rsid w:val="3BBF2075"/>
    <w:rsid w:val="3CB55A1F"/>
    <w:rsid w:val="3E502FE6"/>
    <w:rsid w:val="3F9A26C0"/>
    <w:rsid w:val="3FD249C9"/>
    <w:rsid w:val="3FD35BB0"/>
    <w:rsid w:val="40DD5E5B"/>
    <w:rsid w:val="42715D92"/>
    <w:rsid w:val="433C35D6"/>
    <w:rsid w:val="44081B00"/>
    <w:rsid w:val="44202481"/>
    <w:rsid w:val="455525A3"/>
    <w:rsid w:val="490A03E5"/>
    <w:rsid w:val="4CE26E4A"/>
    <w:rsid w:val="4D3A4DE5"/>
    <w:rsid w:val="4D5352D2"/>
    <w:rsid w:val="4E7A3827"/>
    <w:rsid w:val="4F245112"/>
    <w:rsid w:val="50653CD8"/>
    <w:rsid w:val="50966E31"/>
    <w:rsid w:val="51C70EA9"/>
    <w:rsid w:val="51EC08C3"/>
    <w:rsid w:val="52DD0612"/>
    <w:rsid w:val="53B535AD"/>
    <w:rsid w:val="54942087"/>
    <w:rsid w:val="54F842B6"/>
    <w:rsid w:val="55525A1B"/>
    <w:rsid w:val="56422CCF"/>
    <w:rsid w:val="587962AC"/>
    <w:rsid w:val="58CB188F"/>
    <w:rsid w:val="58FB7FD2"/>
    <w:rsid w:val="59315140"/>
    <w:rsid w:val="5A022300"/>
    <w:rsid w:val="5A5005EF"/>
    <w:rsid w:val="5AE70C2F"/>
    <w:rsid w:val="5B9757C7"/>
    <w:rsid w:val="5BD87229"/>
    <w:rsid w:val="5E807869"/>
    <w:rsid w:val="5EB12FFC"/>
    <w:rsid w:val="5EF13F01"/>
    <w:rsid w:val="5FCF4505"/>
    <w:rsid w:val="60810646"/>
    <w:rsid w:val="60A001E1"/>
    <w:rsid w:val="61533F93"/>
    <w:rsid w:val="621B4E23"/>
    <w:rsid w:val="62F6174B"/>
    <w:rsid w:val="64F5745B"/>
    <w:rsid w:val="656071F2"/>
    <w:rsid w:val="663E2CB7"/>
    <w:rsid w:val="668A5953"/>
    <w:rsid w:val="67163E36"/>
    <w:rsid w:val="67A46ABB"/>
    <w:rsid w:val="67A760D9"/>
    <w:rsid w:val="697650C9"/>
    <w:rsid w:val="6990449C"/>
    <w:rsid w:val="69DF400A"/>
    <w:rsid w:val="6B871AEC"/>
    <w:rsid w:val="6BF1756B"/>
    <w:rsid w:val="6C15246A"/>
    <w:rsid w:val="6C8F2689"/>
    <w:rsid w:val="6DE0371D"/>
    <w:rsid w:val="6DEE1F2B"/>
    <w:rsid w:val="6F5E1AA3"/>
    <w:rsid w:val="6FC63036"/>
    <w:rsid w:val="702A415B"/>
    <w:rsid w:val="70AD31F0"/>
    <w:rsid w:val="70B52917"/>
    <w:rsid w:val="71E830CF"/>
    <w:rsid w:val="741F01E3"/>
    <w:rsid w:val="74D31267"/>
    <w:rsid w:val="75E10FF1"/>
    <w:rsid w:val="76434FBA"/>
    <w:rsid w:val="76570E0B"/>
    <w:rsid w:val="769A4E05"/>
    <w:rsid w:val="77312D1F"/>
    <w:rsid w:val="7A362281"/>
    <w:rsid w:val="7A963E66"/>
    <w:rsid w:val="7B2A25EA"/>
    <w:rsid w:val="7B5A04B1"/>
    <w:rsid w:val="7C5764FD"/>
    <w:rsid w:val="7DD85D31"/>
    <w:rsid w:val="7F200B83"/>
    <w:rsid w:val="7F5D585A"/>
    <w:rsid w:val="FFDF9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2024-10-11T19:39:45Z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