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民丰县供销合作社联合社</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部门单位名称（公章）：民丰县供销合作社联合社</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（1）宣传贯彻党中央、国务院有关农村经济工作的方针政策；</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（2）承担国家赋予的某些经济社会任务，保质保量完成国家委托的经营业务和社会服务任务；</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（3）承担政府委托的任务，行使政府授权的相关职能；</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（4）按照政府授权对重要农业生产资料、农副产品经营进行组织、协调、管理；</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（5）承担重要农产品和农业生产资料国家储备任务；</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（6）促进城乡物资交流；</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（7）负责研究制订全国供销合作社的发展战略和发展规划，指导全国供销合作社的发展和改革；</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（8）协调同有关部门的关系，指导全国供销合作社的业务活动，维护各级供销合作社的合法权益等。</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1）办公室：负责机关文电、会务、机要、档案、保密、信访、宣传、政务公开、目标绩效管理、信息服务、后勤服务等制度建设、日常运转、综合协调和督促检查工作。指导系统普法宣传教育和合作社文化的研究与推广工作；负责县社的机构编制、人事管理、劳动工资、教育培训及统计等工作；组织拟订供销社人才队伍建设规划，并会同有关部门指导实施；负责机关离退休人员的管理服务工作，指导县社所属企业离退休人员的管理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2）企业发展股：指导全县供销合作社企业的制度建设、体制改革与机制创新，推动专业合作社、综合服务社、专业协会等各类农民合作经济组织发展；指导和管理系统的社会团体的组织建设与发展；监督检查各级供销合作社执行国家法规、政策的情况，依法维护供销合作社的合法权益；指导系统农民社员的发展和社员股金的管理和监督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财务股：贯彻执行国家有关财政、税务、金融、会计等政策法规；指导系统财务会计核算、财务管理和社有资产监督管理；负责供销社专项资金申报和计划安排，对专项资金的使用进行追踪问效；编报本部门预算、决算、负责机关及所属单位的财务会计制度建设、资金管理与监督以及绩效评价工作；负责指导系统会计电算化推广应用和会计人员培训等工作；负责对直属企业和基层企业的财务收支、经济效益及其有关的经济活动进行审计监督；对直属企业和基层企业主要领导人员的任期进行经济责任审计；对系统管理中重大的、带倾向性的财务收支和经济效益等问题进行审计调查；对系统内审计工作进行业务指导。</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资产运营股：负责县级所属企业社有资产的运营和管理，指导系统社有资产的管理和运营；拟订县社所属企业总体发展规划、改革方案和考核办法；指导协调县社所属企业做好融资筹资、民事诉讼、资产处置、土地开发、工程建设等重要工作；监督检查指导系统消防安全生产防范工作；负责系统内部财产安全互助统筹金的收缴、理赔和管理；指导系统烟花爆竹的运输、仓储和安全管理工作；负责系统内社会治安综合治理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核定编制数为</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rPr>
        <w:t>人，其中：在职</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rPr>
        <w:t>人，增加</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人；非参公事业人员</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rPr>
        <w:t>人。</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rPr>
        <w:t>目标1、为“三农”服务，研究制定全县供销社的发展规划。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rPr>
        <w:t>目标2、指导全县供销社的改革与发展，负责对重要农业生产资料、农副产品、再生资源经营的组织，协调和管理。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rPr>
        <w:t>目标3、指导全县供销社系统积极参与农业产业化，搞好农业社会化服务体系和农村商品流通体系建设，引导，组织农民进入市场，活跃城乡商品流通，促进城乡经济发展。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rPr>
        <w:t>目标4、认真履行党建第一责任人职责。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Times New Roman"/>
          <w:bCs/>
          <w:color w:val="auto"/>
          <w:sz w:val="32"/>
          <w:szCs w:val="32"/>
        </w:rPr>
      </w:pPr>
      <w:r>
        <w:rPr>
          <w:rFonts w:hint="eastAsia" w:ascii="仿宋_GB2312" w:hAnsi="仿宋" w:eastAsia="仿宋_GB2312" w:cs="Times New Roman"/>
          <w:bCs/>
          <w:color w:val="auto"/>
          <w:sz w:val="32"/>
          <w:szCs w:val="32"/>
        </w:rPr>
        <w:t>目标5、突出党员干部队伍教育管理。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Style w:val="9"/>
          <w:rFonts w:hint="eastAsia" w:ascii="仿宋_GB2312" w:hAnsi="楷体" w:eastAsia="仿宋_GB2312"/>
          <w:b w:val="0"/>
          <w:color w:val="auto"/>
          <w:spacing w:val="-4"/>
          <w:sz w:val="32"/>
          <w:szCs w:val="32"/>
          <w:highlight w:val="none"/>
          <w:lang w:val="en-US" w:eastAsia="zh-CN"/>
        </w:rPr>
      </w:pPr>
      <w:r>
        <w:rPr>
          <w:rFonts w:hint="eastAsia" w:ascii="仿宋_GB2312" w:hAnsi="仿宋" w:eastAsia="仿宋_GB2312" w:cs="Times New Roman"/>
          <w:bCs/>
          <w:color w:val="auto"/>
          <w:sz w:val="32"/>
          <w:szCs w:val="32"/>
        </w:rPr>
        <w:t>目标6、确保节日</w:t>
      </w:r>
      <w:r>
        <w:rPr>
          <w:rFonts w:hint="eastAsia" w:ascii="仿宋_GB2312" w:hAnsi="仿宋" w:eastAsia="仿宋_GB2312" w:cs="Times New Roman"/>
          <w:bCs/>
          <w:color w:val="auto"/>
          <w:sz w:val="32"/>
          <w:szCs w:val="32"/>
          <w:lang w:eastAsia="zh-CN"/>
        </w:rPr>
        <w:t>现场</w:t>
      </w:r>
      <w:r>
        <w:rPr>
          <w:rFonts w:hint="eastAsia" w:ascii="仿宋_GB2312" w:hAnsi="仿宋" w:eastAsia="仿宋_GB2312" w:cs="Times New Roman"/>
          <w:bCs/>
          <w:color w:val="auto"/>
          <w:sz w:val="32"/>
          <w:szCs w:val="32"/>
        </w:rPr>
        <w:t>肉品供应，满足各族群众消费需求，发挥渠道优势避免出现价格波动，保障供应、让利于民</w:t>
      </w:r>
      <w:r>
        <w:rPr>
          <w:rFonts w:hint="eastAsia" w:ascii="仿宋_GB2312" w:hAnsi="仿宋" w:eastAsia="仿宋_GB2312" w:cs="Times New Roman"/>
          <w:bCs/>
          <w:color w:val="auto"/>
          <w:kern w:val="2"/>
          <w:sz w:val="32"/>
          <w:szCs w:val="32"/>
          <w:lang w:val="en-US" w:eastAsia="zh-CN" w:bidi="ar-SA"/>
        </w:rPr>
        <w:t>。</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0万元，预算数（调整后）32.3万元，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32.3万元，执行率100%。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202.94万元，预算数（调整后）254.11万元，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254.11万元，执行率100%。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供销合作社联合社</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254.11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164.85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89.26万元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254.11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供销合作社联合社</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32.3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32.3</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供销合作社联合社</w:t>
      </w:r>
      <w:r>
        <w:rPr>
          <w:rFonts w:hint="eastAsia" w:hAnsi="方正楷体简体"/>
          <w:color w:val="auto"/>
          <w:highlight w:val="none"/>
        </w:rPr>
        <w:t>项目支出共涉及</w:t>
      </w:r>
      <w:r>
        <w:rPr>
          <w:rFonts w:hint="eastAsia" w:hAnsi="方正楷体简体"/>
          <w:color w:val="auto"/>
          <w:highlight w:val="none"/>
          <w:lang w:val="en-US" w:eastAsia="zh-CN"/>
        </w:rPr>
        <w:t>1</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rPr>
              <w:t>民丰县供销社集散中心改造项目资金欠款</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auto"/>
                <w:kern w:val="0"/>
                <w:sz w:val="22"/>
                <w:szCs w:val="22"/>
                <w:highlight w:val="none"/>
                <w:u w:val="none"/>
                <w:lang w:val="en-US" w:eastAsia="zh-CN" w:bidi="ar"/>
              </w:rPr>
            </w:pPr>
            <w:r>
              <w:rPr>
                <w:rFonts w:hint="eastAsia"/>
                <w:lang w:val="en-US" w:eastAsia="zh-CN"/>
              </w:rPr>
              <w:t>32.3</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供销合作社联合社</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254.11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164.85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89.26万元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254.11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32.3</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32.3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eastAsia"/>
              </w:rPr>
              <w:t>民丰县供销社集散中心改造项目资金欠款</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eastAsia"/>
                <w:lang w:val="en-US" w:eastAsia="zh-CN"/>
              </w:rPr>
              <w:t>32.3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eastAsia"/>
                <w:lang w:val="en-US" w:eastAsia="zh-CN"/>
              </w:rPr>
              <w:t>32.3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32.3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32.3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100%</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（一）指标一：新建村级供销站点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新建村级供销站点，预期指标是大于等于16个，年中绩效运行监控完成值是16个，本次评价实际完成值是20个，达到预期目标。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（二）指标二：农资配送吨数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农资配送吨数，预期指标是</w:t>
      </w:r>
      <w:r>
        <w:rPr>
          <w:rFonts w:hint="eastAsia" w:ascii="仿宋_GB2312" w:hAnsi="仿宋" w:eastAsia="仿宋_GB2312"/>
          <w:color w:val="auto"/>
          <w:sz w:val="32"/>
          <w:szCs w:val="32"/>
          <w:highlight w:val="none"/>
          <w:lang w:val="en-US" w:eastAsia="zh-CN"/>
        </w:rPr>
        <w:t>大于等于1500吨</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834吨</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本次评价实际完成值是1540吨，</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（三）指标三：粮油、蔬菜配送吨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粮油、蔬菜配送吨，预期指标是</w:t>
      </w:r>
      <w:r>
        <w:rPr>
          <w:rFonts w:hint="eastAsia" w:ascii="仿宋_GB2312" w:hAnsi="仿宋" w:eastAsia="仿宋_GB2312"/>
          <w:color w:val="auto"/>
          <w:sz w:val="32"/>
          <w:szCs w:val="32"/>
          <w:highlight w:val="none"/>
          <w:lang w:val="en-US" w:eastAsia="zh-CN"/>
        </w:rPr>
        <w:t>大于等于200吨</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170.42吨</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本次评价实际完成值是214吨，</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（四）指标四：物流园临聘人员数量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物流园临聘人员数量，预期指标是</w:t>
      </w:r>
      <w:r>
        <w:rPr>
          <w:rFonts w:hint="eastAsia" w:ascii="仿宋_GB2312" w:hAnsi="仿宋" w:eastAsia="仿宋_GB2312"/>
          <w:color w:val="auto"/>
          <w:sz w:val="32"/>
          <w:szCs w:val="32"/>
          <w:highlight w:val="none"/>
          <w:lang w:val="en-US" w:eastAsia="zh-CN"/>
        </w:rPr>
        <w:t>5人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5人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本次评价实际完成值是5人，</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（五）指标五：新设乡镇基层社</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 w:eastAsia="仿宋_GB2312"/>
          <w:color w:val="auto"/>
          <w:sz w:val="32"/>
          <w:szCs w:val="32"/>
          <w:highlight w:val="none"/>
          <w:lang w:val="en-US" w:eastAsia="zh-CN"/>
        </w:rPr>
      </w:pPr>
      <w:r>
        <w:rPr>
          <w:rStyle w:val="9"/>
          <w:rFonts w:hint="eastAsia" w:ascii="仿宋_GB2312" w:hAnsi="楷体" w:eastAsia="仿宋_GB2312" w:cs="Times New Roman"/>
          <w:b w:val="0"/>
          <w:color w:val="auto"/>
          <w:spacing w:val="-4"/>
          <w:sz w:val="32"/>
          <w:szCs w:val="32"/>
          <w:highlight w:val="none"/>
          <w:lang w:val="en-US" w:eastAsia="zh-CN"/>
        </w:rPr>
        <w:t>新设乡镇基层社，预</w:t>
      </w:r>
      <w:r>
        <w:rPr>
          <w:rFonts w:hint="eastAsia" w:ascii="仿宋_GB2312" w:hAnsi="仿宋" w:eastAsia="仿宋_GB2312"/>
          <w:color w:val="auto"/>
          <w:sz w:val="32"/>
          <w:szCs w:val="32"/>
          <w:highlight w:val="none"/>
        </w:rPr>
        <w:t>期指标是</w:t>
      </w:r>
      <w:r>
        <w:rPr>
          <w:rFonts w:hint="eastAsia" w:ascii="仿宋_GB2312" w:hAnsi="仿宋" w:eastAsia="仿宋_GB2312"/>
          <w:color w:val="auto"/>
          <w:sz w:val="32"/>
          <w:szCs w:val="32"/>
          <w:highlight w:val="none"/>
          <w:lang w:val="en-US" w:eastAsia="zh-CN"/>
        </w:rPr>
        <w:t>5个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4个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本次评价实际完成值是4个，未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（六）指标六：农副产品销售任务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 w:eastAsia="仿宋_GB2312"/>
          <w:color w:val="auto"/>
          <w:sz w:val="32"/>
          <w:szCs w:val="32"/>
          <w:highlight w:val="none"/>
        </w:rPr>
        <w:t>农副产品销售任务，预期指标是</w:t>
      </w:r>
      <w:r>
        <w:rPr>
          <w:rFonts w:hint="eastAsia" w:ascii="仿宋_GB2312" w:hAnsi="仿宋" w:eastAsia="仿宋_GB2312"/>
          <w:color w:val="auto"/>
          <w:sz w:val="32"/>
          <w:szCs w:val="32"/>
          <w:highlight w:val="none"/>
          <w:lang w:val="en-US" w:eastAsia="zh-CN"/>
        </w:rPr>
        <w:t>大于等于500万元</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331.94万元</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本次评价实际完成值是616万元，</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2023年度部门整体支出绩效自评综合得分97分，评价结果为“优”。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A65187"/>
    <w:rsid w:val="02083FE3"/>
    <w:rsid w:val="020B07BA"/>
    <w:rsid w:val="02143AF3"/>
    <w:rsid w:val="025F60B9"/>
    <w:rsid w:val="02656D15"/>
    <w:rsid w:val="02965E8D"/>
    <w:rsid w:val="036F25A0"/>
    <w:rsid w:val="037F0728"/>
    <w:rsid w:val="03D360F1"/>
    <w:rsid w:val="04440438"/>
    <w:rsid w:val="04537F5A"/>
    <w:rsid w:val="04D06597"/>
    <w:rsid w:val="04E4679D"/>
    <w:rsid w:val="053C376F"/>
    <w:rsid w:val="056B2C09"/>
    <w:rsid w:val="05731446"/>
    <w:rsid w:val="05CB6613"/>
    <w:rsid w:val="065340BF"/>
    <w:rsid w:val="06696209"/>
    <w:rsid w:val="071976DD"/>
    <w:rsid w:val="07505305"/>
    <w:rsid w:val="08CC471F"/>
    <w:rsid w:val="098242D9"/>
    <w:rsid w:val="099C464D"/>
    <w:rsid w:val="0A417E47"/>
    <w:rsid w:val="0A9F104D"/>
    <w:rsid w:val="0B6F48AA"/>
    <w:rsid w:val="0BC64CF0"/>
    <w:rsid w:val="0C1013EF"/>
    <w:rsid w:val="0C354671"/>
    <w:rsid w:val="0C561A59"/>
    <w:rsid w:val="0C993046"/>
    <w:rsid w:val="0CB7795C"/>
    <w:rsid w:val="0D19113A"/>
    <w:rsid w:val="0D1922F1"/>
    <w:rsid w:val="0D825121"/>
    <w:rsid w:val="0D9F0DF1"/>
    <w:rsid w:val="0DBD196E"/>
    <w:rsid w:val="0E325CFD"/>
    <w:rsid w:val="0E737D65"/>
    <w:rsid w:val="0F471127"/>
    <w:rsid w:val="0FA5497F"/>
    <w:rsid w:val="10DF6E84"/>
    <w:rsid w:val="115D6C7D"/>
    <w:rsid w:val="119055B4"/>
    <w:rsid w:val="11F017F5"/>
    <w:rsid w:val="120D1EEA"/>
    <w:rsid w:val="123F73AE"/>
    <w:rsid w:val="127423D4"/>
    <w:rsid w:val="12D07449"/>
    <w:rsid w:val="12E977B3"/>
    <w:rsid w:val="13072B53"/>
    <w:rsid w:val="1438599A"/>
    <w:rsid w:val="14775B53"/>
    <w:rsid w:val="14F27B7B"/>
    <w:rsid w:val="176A0FC5"/>
    <w:rsid w:val="18344297"/>
    <w:rsid w:val="188924B6"/>
    <w:rsid w:val="189E58C4"/>
    <w:rsid w:val="197406AD"/>
    <w:rsid w:val="1999359E"/>
    <w:rsid w:val="19E24A4E"/>
    <w:rsid w:val="19F6744F"/>
    <w:rsid w:val="19FE0A5D"/>
    <w:rsid w:val="1AA2333B"/>
    <w:rsid w:val="1B1332CA"/>
    <w:rsid w:val="1BFA024C"/>
    <w:rsid w:val="1C94135C"/>
    <w:rsid w:val="1CBE5A05"/>
    <w:rsid w:val="1CDE4763"/>
    <w:rsid w:val="1D073223"/>
    <w:rsid w:val="1D7F5D40"/>
    <w:rsid w:val="1D95187B"/>
    <w:rsid w:val="1E450659"/>
    <w:rsid w:val="1E480663"/>
    <w:rsid w:val="1F2E40D0"/>
    <w:rsid w:val="1F90448E"/>
    <w:rsid w:val="1FBB36D6"/>
    <w:rsid w:val="200F4073"/>
    <w:rsid w:val="204070F0"/>
    <w:rsid w:val="210248A0"/>
    <w:rsid w:val="211F7E62"/>
    <w:rsid w:val="215A51EF"/>
    <w:rsid w:val="21E22F6F"/>
    <w:rsid w:val="21F15116"/>
    <w:rsid w:val="22432A40"/>
    <w:rsid w:val="229016F2"/>
    <w:rsid w:val="231D00E5"/>
    <w:rsid w:val="236F5373"/>
    <w:rsid w:val="23741243"/>
    <w:rsid w:val="23820713"/>
    <w:rsid w:val="247B4D27"/>
    <w:rsid w:val="24B86128"/>
    <w:rsid w:val="25930A3E"/>
    <w:rsid w:val="26122C15"/>
    <w:rsid w:val="279714E3"/>
    <w:rsid w:val="28001490"/>
    <w:rsid w:val="28056196"/>
    <w:rsid w:val="28F109D1"/>
    <w:rsid w:val="291F3644"/>
    <w:rsid w:val="29527CE9"/>
    <w:rsid w:val="29C30BFF"/>
    <w:rsid w:val="2AF4485D"/>
    <w:rsid w:val="2AF77D81"/>
    <w:rsid w:val="2B043BBD"/>
    <w:rsid w:val="2B131174"/>
    <w:rsid w:val="2B4341EB"/>
    <w:rsid w:val="2B513E61"/>
    <w:rsid w:val="2C454A8E"/>
    <w:rsid w:val="2C736830"/>
    <w:rsid w:val="2C9E18B5"/>
    <w:rsid w:val="2D8F0F02"/>
    <w:rsid w:val="2DC21BBA"/>
    <w:rsid w:val="2DE92A48"/>
    <w:rsid w:val="2E501733"/>
    <w:rsid w:val="2E913C19"/>
    <w:rsid w:val="2EE7129F"/>
    <w:rsid w:val="2EF80FF5"/>
    <w:rsid w:val="2FB33ACF"/>
    <w:rsid w:val="30252FB1"/>
    <w:rsid w:val="307179D7"/>
    <w:rsid w:val="30A967BD"/>
    <w:rsid w:val="30BD2E56"/>
    <w:rsid w:val="30C353D7"/>
    <w:rsid w:val="30C71428"/>
    <w:rsid w:val="30E6123B"/>
    <w:rsid w:val="31153648"/>
    <w:rsid w:val="311D1738"/>
    <w:rsid w:val="3148295B"/>
    <w:rsid w:val="31DC2E54"/>
    <w:rsid w:val="32650FE8"/>
    <w:rsid w:val="328647CF"/>
    <w:rsid w:val="32F63DCB"/>
    <w:rsid w:val="334B0733"/>
    <w:rsid w:val="3353337A"/>
    <w:rsid w:val="33D53037"/>
    <w:rsid w:val="34583CA2"/>
    <w:rsid w:val="350E12DF"/>
    <w:rsid w:val="35274E80"/>
    <w:rsid w:val="35446943"/>
    <w:rsid w:val="35752DE8"/>
    <w:rsid w:val="35EB2B1B"/>
    <w:rsid w:val="35F516C7"/>
    <w:rsid w:val="36E918C3"/>
    <w:rsid w:val="37213B34"/>
    <w:rsid w:val="37847141"/>
    <w:rsid w:val="379C4287"/>
    <w:rsid w:val="37E01ED0"/>
    <w:rsid w:val="38A61EBD"/>
    <w:rsid w:val="38BD6D70"/>
    <w:rsid w:val="3A560600"/>
    <w:rsid w:val="3A6433F2"/>
    <w:rsid w:val="3ABA302D"/>
    <w:rsid w:val="3AFC5DBC"/>
    <w:rsid w:val="3B31606E"/>
    <w:rsid w:val="3BBF2075"/>
    <w:rsid w:val="3C1B2B4E"/>
    <w:rsid w:val="3D066B28"/>
    <w:rsid w:val="3D3752E3"/>
    <w:rsid w:val="3E502FE6"/>
    <w:rsid w:val="3F9A26C0"/>
    <w:rsid w:val="3FD249C9"/>
    <w:rsid w:val="3FD35BB0"/>
    <w:rsid w:val="4004687B"/>
    <w:rsid w:val="40C329C5"/>
    <w:rsid w:val="421B0BD5"/>
    <w:rsid w:val="421C6A8E"/>
    <w:rsid w:val="42715D92"/>
    <w:rsid w:val="42D76E89"/>
    <w:rsid w:val="42ED7A1D"/>
    <w:rsid w:val="433C35D6"/>
    <w:rsid w:val="44081B00"/>
    <w:rsid w:val="441D492B"/>
    <w:rsid w:val="44202481"/>
    <w:rsid w:val="455525A3"/>
    <w:rsid w:val="455F5770"/>
    <w:rsid w:val="46CC7CC3"/>
    <w:rsid w:val="490A03E5"/>
    <w:rsid w:val="4CAD59B7"/>
    <w:rsid w:val="4CE26E4A"/>
    <w:rsid w:val="4CEE4B39"/>
    <w:rsid w:val="4D5352D2"/>
    <w:rsid w:val="4DB22F1C"/>
    <w:rsid w:val="4F245112"/>
    <w:rsid w:val="50966E31"/>
    <w:rsid w:val="50AC5F11"/>
    <w:rsid w:val="50E644F7"/>
    <w:rsid w:val="50FC6FB1"/>
    <w:rsid w:val="51936956"/>
    <w:rsid w:val="51C70EA9"/>
    <w:rsid w:val="51EC08C3"/>
    <w:rsid w:val="52DD0612"/>
    <w:rsid w:val="535401CD"/>
    <w:rsid w:val="53616619"/>
    <w:rsid w:val="53B535AD"/>
    <w:rsid w:val="53EF3CB0"/>
    <w:rsid w:val="54191C62"/>
    <w:rsid w:val="54942087"/>
    <w:rsid w:val="54F842B6"/>
    <w:rsid w:val="55525A1B"/>
    <w:rsid w:val="57C514DD"/>
    <w:rsid w:val="57F754E9"/>
    <w:rsid w:val="58125EAF"/>
    <w:rsid w:val="587962AC"/>
    <w:rsid w:val="58CB188F"/>
    <w:rsid w:val="58CF52AA"/>
    <w:rsid w:val="58F84CC2"/>
    <w:rsid w:val="58FB7FD2"/>
    <w:rsid w:val="59315140"/>
    <w:rsid w:val="59E8491A"/>
    <w:rsid w:val="5A5005EF"/>
    <w:rsid w:val="5AE70C2F"/>
    <w:rsid w:val="5B317016"/>
    <w:rsid w:val="5B612024"/>
    <w:rsid w:val="5B844DDF"/>
    <w:rsid w:val="5B9757C7"/>
    <w:rsid w:val="5BD87229"/>
    <w:rsid w:val="5BF46B51"/>
    <w:rsid w:val="5C464E4E"/>
    <w:rsid w:val="5C47767B"/>
    <w:rsid w:val="5C911CAA"/>
    <w:rsid w:val="5CC72C7C"/>
    <w:rsid w:val="5D031B79"/>
    <w:rsid w:val="5DAB0D44"/>
    <w:rsid w:val="5E807869"/>
    <w:rsid w:val="5EB12FFC"/>
    <w:rsid w:val="5EC119C1"/>
    <w:rsid w:val="5ECD3880"/>
    <w:rsid w:val="5EF13F01"/>
    <w:rsid w:val="5FCF4505"/>
    <w:rsid w:val="60810646"/>
    <w:rsid w:val="60861653"/>
    <w:rsid w:val="60A001E1"/>
    <w:rsid w:val="61533F93"/>
    <w:rsid w:val="61CC3282"/>
    <w:rsid w:val="62B138A5"/>
    <w:rsid w:val="62FF41BC"/>
    <w:rsid w:val="649E5A54"/>
    <w:rsid w:val="64B37927"/>
    <w:rsid w:val="64F5745B"/>
    <w:rsid w:val="65431E53"/>
    <w:rsid w:val="6550747D"/>
    <w:rsid w:val="656071F2"/>
    <w:rsid w:val="65E66B55"/>
    <w:rsid w:val="668A5953"/>
    <w:rsid w:val="67163E36"/>
    <w:rsid w:val="67294323"/>
    <w:rsid w:val="675737FA"/>
    <w:rsid w:val="67A46ABB"/>
    <w:rsid w:val="67A760D9"/>
    <w:rsid w:val="68141A48"/>
    <w:rsid w:val="68301DD3"/>
    <w:rsid w:val="683F17C8"/>
    <w:rsid w:val="68E935B2"/>
    <w:rsid w:val="68F071D2"/>
    <w:rsid w:val="69226B8E"/>
    <w:rsid w:val="697650C9"/>
    <w:rsid w:val="6990449C"/>
    <w:rsid w:val="6A3D62B1"/>
    <w:rsid w:val="6B5651CD"/>
    <w:rsid w:val="6B7071C5"/>
    <w:rsid w:val="6BF1756B"/>
    <w:rsid w:val="6C4770EF"/>
    <w:rsid w:val="6CC17A4F"/>
    <w:rsid w:val="6D920313"/>
    <w:rsid w:val="6DE0371D"/>
    <w:rsid w:val="6E0773DE"/>
    <w:rsid w:val="6E620CF2"/>
    <w:rsid w:val="6EC45659"/>
    <w:rsid w:val="6F56616E"/>
    <w:rsid w:val="6F5E1AA3"/>
    <w:rsid w:val="6F8D5764"/>
    <w:rsid w:val="6FC0465E"/>
    <w:rsid w:val="6FC63036"/>
    <w:rsid w:val="701075FD"/>
    <w:rsid w:val="702A415B"/>
    <w:rsid w:val="70956DCB"/>
    <w:rsid w:val="70AD31F0"/>
    <w:rsid w:val="71062065"/>
    <w:rsid w:val="71E830CF"/>
    <w:rsid w:val="72310225"/>
    <w:rsid w:val="741F01E3"/>
    <w:rsid w:val="75E10FF1"/>
    <w:rsid w:val="763F556D"/>
    <w:rsid w:val="76434FBA"/>
    <w:rsid w:val="76570E0B"/>
    <w:rsid w:val="769A4E05"/>
    <w:rsid w:val="76D8191F"/>
    <w:rsid w:val="7772178F"/>
    <w:rsid w:val="78333936"/>
    <w:rsid w:val="7912435D"/>
    <w:rsid w:val="7A362281"/>
    <w:rsid w:val="7AAD1812"/>
    <w:rsid w:val="7AE1632D"/>
    <w:rsid w:val="7B2A25EA"/>
    <w:rsid w:val="7B5A04B1"/>
    <w:rsid w:val="7C5764FD"/>
    <w:rsid w:val="7C723EE6"/>
    <w:rsid w:val="7C734CF6"/>
    <w:rsid w:val="7DD83F74"/>
    <w:rsid w:val="7EA70AA9"/>
    <w:rsid w:val="7F200B83"/>
    <w:rsid w:val="7F5D585A"/>
    <w:rsid w:val="7FCA0E68"/>
    <w:rsid w:val="7FD23705"/>
    <w:rsid w:val="C7BDD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21"/>
    <w:basedOn w:val="8"/>
    <w:qFormat/>
    <w:uiPriority w:val="0"/>
    <w:rPr>
      <w:rFonts w:hint="default" w:ascii="Calibri" w:hAnsi="Calibri" w:cs="Calibri"/>
      <w:color w:val="000000"/>
      <w:sz w:val="24"/>
      <w:szCs w:val="24"/>
      <w:u w:val="none"/>
    </w:rPr>
  </w:style>
  <w:style w:type="character" w:customStyle="1" w:styleId="16">
    <w:name w:val="font11"/>
    <w:basedOn w:val="8"/>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57</Words>
  <Characters>328</Characters>
  <Lines>2</Lines>
  <Paragraphs>1</Paragraphs>
  <TotalTime>0</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2024-10-11T19:38:43Z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