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lang w:val="en-US" w:eastAsia="zh-CN"/>
        </w:rPr>
        <w:t>民丰县人民政府办公室</w:t>
      </w:r>
      <w:r>
        <w:rPr>
          <w:rFonts w:hint="eastAsia" w:ascii="方正小标宋_GBK" w:hAnsi="华文中宋" w:eastAsia="方正小标宋_GBK" w:cs="宋体"/>
          <w:b/>
          <w:color w:val="auto"/>
          <w:kern w:val="0"/>
          <w:sz w:val="48"/>
          <w:szCs w:val="48"/>
          <w:highlight w:val="none"/>
        </w:rPr>
        <w:t>整体支出绩效</w:t>
      </w: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rPr>
        <w:t>自评报告</w:t>
      </w:r>
    </w:p>
    <w:p>
      <w:pPr>
        <w:spacing w:line="540" w:lineRule="exact"/>
        <w:jc w:val="center"/>
        <w:rPr>
          <w:rFonts w:ascii="华文中宋" w:hAnsi="华文中宋" w:eastAsia="华文中宋" w:cs="宋体"/>
          <w:b/>
          <w:color w:val="auto"/>
          <w:kern w:val="0"/>
          <w:sz w:val="52"/>
          <w:szCs w:val="52"/>
          <w:highlight w:val="none"/>
        </w:rPr>
      </w:pPr>
    </w:p>
    <w:p>
      <w:pPr>
        <w:spacing w:line="540" w:lineRule="exact"/>
        <w:jc w:val="center"/>
        <w:rPr>
          <w:rFonts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w:t>
      </w:r>
      <w:r>
        <w:rPr>
          <w:rFonts w:hint="eastAsia" w:ascii="仿宋_GB2312" w:hAnsi="宋体" w:eastAsia="仿宋_GB2312"/>
          <w:b/>
          <w:bCs w:val="0"/>
          <w:color w:val="auto"/>
          <w:sz w:val="32"/>
          <w:szCs w:val="32"/>
          <w:highlight w:val="none"/>
        </w:rPr>
        <w:t>202</w:t>
      </w:r>
      <w:r>
        <w:rPr>
          <w:rFonts w:hint="eastAsia" w:ascii="仿宋_GB2312" w:hAnsi="宋体" w:eastAsia="仿宋_GB2312"/>
          <w:b/>
          <w:bCs w:val="0"/>
          <w:color w:val="auto"/>
          <w:sz w:val="32"/>
          <w:szCs w:val="32"/>
          <w:highlight w:val="none"/>
          <w:lang w:val="en-US" w:eastAsia="zh-CN"/>
        </w:rPr>
        <w:t>3</w:t>
      </w:r>
      <w:bookmarkStart w:id="1" w:name="_GoBack"/>
      <w:bookmarkEnd w:id="1"/>
      <w:r>
        <w:rPr>
          <w:rFonts w:hint="eastAsia" w:hAnsi="宋体" w:eastAsia="仿宋_GB2312" w:cs="宋体"/>
          <w:b/>
          <w:bCs w:val="0"/>
          <w:color w:val="auto"/>
          <w:kern w:val="0"/>
          <w:sz w:val="36"/>
          <w:szCs w:val="36"/>
          <w:highlight w:val="none"/>
        </w:rPr>
        <w:t>年度</w:t>
      </w:r>
      <w:r>
        <w:rPr>
          <w:rFonts w:hint="eastAsia" w:hAnsi="宋体" w:eastAsia="仿宋_GB2312" w:cs="宋体"/>
          <w:color w:val="auto"/>
          <w:kern w:val="0"/>
          <w:sz w:val="36"/>
          <w:szCs w:val="36"/>
          <w:highlight w:val="none"/>
        </w:rPr>
        <w:t>）</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540" w:lineRule="exact"/>
        <w:ind w:firstLine="720" w:firstLineChars="200"/>
        <w:rPr>
          <w:rFonts w:hint="eastAsia" w:hAnsi="宋体" w:eastAsia="仿宋_GB2312" w:cs="宋体"/>
          <w:color w:val="auto"/>
          <w:kern w:val="0"/>
          <w:sz w:val="36"/>
          <w:szCs w:val="36"/>
          <w:highlight w:val="none"/>
          <w:lang w:val="en-US" w:eastAsia="zh-CN"/>
        </w:rPr>
      </w:pPr>
      <w:r>
        <w:rPr>
          <w:rFonts w:hint="eastAsia" w:hAnsi="宋体" w:eastAsia="仿宋_GB2312" w:cs="宋体"/>
          <w:color w:val="auto"/>
          <w:kern w:val="0"/>
          <w:sz w:val="36"/>
          <w:szCs w:val="36"/>
          <w:highlight w:val="none"/>
          <w:lang w:val="en-US" w:eastAsia="zh-CN"/>
        </w:rPr>
        <w:t>部门单位名称（公章）：民丰县人民政府办公室</w:t>
      </w:r>
    </w:p>
    <w:p>
      <w:pPr>
        <w:spacing w:line="540" w:lineRule="exact"/>
        <w:ind w:firstLine="720" w:firstLineChars="200"/>
        <w:rPr>
          <w:rFonts w:hint="eastAsia"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填报时间：2024年</w:t>
      </w:r>
      <w:r>
        <w:rPr>
          <w:rFonts w:hint="eastAsia" w:hAnsi="宋体" w:eastAsia="仿宋_GB2312" w:cs="宋体"/>
          <w:color w:val="auto"/>
          <w:kern w:val="0"/>
          <w:sz w:val="36"/>
          <w:szCs w:val="36"/>
          <w:highlight w:val="none"/>
          <w:lang w:val="en-US" w:eastAsia="zh-CN"/>
        </w:rPr>
        <w:t>5</w:t>
      </w:r>
      <w:r>
        <w:rPr>
          <w:rFonts w:hint="eastAsia" w:hAnsi="宋体" w:eastAsia="仿宋_GB2312" w:cs="宋体"/>
          <w:color w:val="auto"/>
          <w:kern w:val="0"/>
          <w:sz w:val="36"/>
          <w:szCs w:val="36"/>
          <w:highlight w:val="none"/>
        </w:rPr>
        <w:t>月</w:t>
      </w:r>
      <w:r>
        <w:rPr>
          <w:rFonts w:hint="eastAsia" w:hAnsi="宋体" w:eastAsia="仿宋_GB2312" w:cs="宋体"/>
          <w:color w:val="auto"/>
          <w:kern w:val="0"/>
          <w:sz w:val="36"/>
          <w:szCs w:val="36"/>
          <w:highlight w:val="none"/>
          <w:lang w:val="en-US" w:eastAsia="zh-CN"/>
        </w:rPr>
        <w:t>10</w:t>
      </w:r>
      <w:r>
        <w:rPr>
          <w:rFonts w:hint="eastAsia" w:hAnsi="宋体" w:eastAsia="仿宋_GB2312" w:cs="宋体"/>
          <w:color w:val="auto"/>
          <w:kern w:val="0"/>
          <w:sz w:val="36"/>
          <w:szCs w:val="36"/>
          <w:highlight w:val="none"/>
        </w:rPr>
        <w:t>日</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基本概况：</w:t>
      </w:r>
    </w:p>
    <w:p>
      <w:pPr>
        <w:spacing w:line="600" w:lineRule="exact"/>
        <w:ind w:firstLine="961" w:firstLineChars="300"/>
        <w:jc w:val="left"/>
        <w:rPr>
          <w:rFonts w:hint="eastAsia" w:ascii="Arial" w:hAnsi="Arial" w:cs="Arial"/>
          <w:b/>
          <w:bCs/>
          <w:color w:val="auto"/>
          <w:sz w:val="30"/>
          <w:szCs w:val="30"/>
          <w:highlight w:val="none"/>
        </w:rPr>
      </w:pPr>
      <w:r>
        <w:rPr>
          <w:rFonts w:hint="eastAsia" w:ascii="黑体" w:hAnsi="黑体" w:eastAsia="黑体" w:cs="宋体"/>
          <w:b/>
          <w:color w:val="auto"/>
          <w:sz w:val="32"/>
          <w:szCs w:val="32"/>
          <w:highlight w:val="none"/>
          <w:lang w:bidi="ar"/>
        </w:rPr>
        <w:t>（一）</w:t>
      </w:r>
      <w:r>
        <w:rPr>
          <w:rFonts w:ascii="黑体" w:hAnsi="黑体" w:eastAsia="黑体" w:cs="宋体"/>
          <w:b/>
          <w:color w:val="auto"/>
          <w:sz w:val="32"/>
          <w:szCs w:val="32"/>
          <w:highlight w:val="none"/>
          <w:lang w:bidi="ar"/>
        </w:rPr>
        <w:t>部门单位基本情况</w:t>
      </w:r>
      <w:r>
        <w:rPr>
          <w:rFonts w:hint="eastAsia" w:ascii="Arial" w:hAnsi="Arial" w:cs="Arial"/>
          <w:b/>
          <w:bCs/>
          <w:color w:val="auto"/>
          <w:sz w:val="30"/>
          <w:szCs w:val="30"/>
          <w:highlight w:val="none"/>
        </w:rPr>
        <w:t>：</w:t>
      </w:r>
    </w:p>
    <w:p>
      <w:pPr>
        <w:pStyle w:val="12"/>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 w:eastAsia="仿宋_GB2312" w:cs="Times New Roman"/>
          <w:b/>
          <w:bCs w:val="0"/>
          <w:color w:val="auto"/>
          <w:sz w:val="32"/>
          <w:szCs w:val="32"/>
          <w:highlight w:val="none"/>
        </w:rPr>
      </w:pPr>
      <w:bookmarkStart w:id="0" w:name="_Hlk43849111"/>
      <w:bookmarkEnd w:id="0"/>
      <w:r>
        <w:rPr>
          <w:rFonts w:hint="eastAsia" w:ascii="仿宋_GB2312" w:hAnsi="仿宋" w:eastAsia="仿宋_GB2312" w:cs="Times New Roman"/>
          <w:b/>
          <w:bCs w:val="0"/>
          <w:color w:val="auto"/>
          <w:sz w:val="32"/>
          <w:szCs w:val="32"/>
          <w:highlight w:val="none"/>
        </w:rPr>
        <w:t>1．</w:t>
      </w:r>
      <w:r>
        <w:rPr>
          <w:rFonts w:hint="eastAsia" w:ascii="仿宋_GB2312" w:hAnsi="仿宋" w:eastAsia="仿宋_GB2312" w:cs="Times New Roman"/>
          <w:b/>
          <w:bCs w:val="0"/>
          <w:color w:val="auto"/>
          <w:sz w:val="32"/>
          <w:szCs w:val="32"/>
          <w:highlight w:val="none"/>
          <w:lang w:val="en-US" w:eastAsia="zh-CN"/>
        </w:rPr>
        <w:t>单位</w:t>
      </w:r>
      <w:r>
        <w:rPr>
          <w:rFonts w:hint="eastAsia" w:ascii="仿宋_GB2312" w:hAnsi="仿宋" w:eastAsia="仿宋_GB2312" w:cs="Times New Roman"/>
          <w:b/>
          <w:bCs w:val="0"/>
          <w:color w:val="auto"/>
          <w:sz w:val="32"/>
          <w:szCs w:val="32"/>
          <w:highlight w:val="none"/>
        </w:rPr>
        <w:t>主要职能</w:t>
      </w:r>
    </w:p>
    <w:p>
      <w:pPr>
        <w:pStyle w:val="12"/>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w:t>
      </w:r>
      <w:r>
        <w:rPr>
          <w:rFonts w:hint="eastAsia" w:ascii="仿宋_GB2312" w:hAnsi="宋体" w:eastAsia="仿宋_GB2312"/>
          <w:b w:val="0"/>
          <w:bCs/>
          <w:sz w:val="32"/>
          <w:szCs w:val="32"/>
          <w:lang w:val="en-US" w:eastAsia="zh-CN"/>
        </w:rPr>
        <w:t>1</w:t>
      </w:r>
      <w:r>
        <w:rPr>
          <w:rFonts w:hint="eastAsia" w:ascii="仿宋_GB2312" w:hAnsi="宋体" w:eastAsia="仿宋_GB2312"/>
          <w:b w:val="0"/>
          <w:bCs/>
          <w:sz w:val="32"/>
          <w:szCs w:val="32"/>
        </w:rPr>
        <w:t>）协助县政府领导同志审核或组织起草以县政府、县政府办公室名义发布的公文。</w:t>
      </w:r>
    </w:p>
    <w:p>
      <w:pPr>
        <w:pStyle w:val="12"/>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lang w:val="en-US" w:eastAsia="zh-CN"/>
        </w:rPr>
        <w:t>2</w:t>
      </w: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rPr>
        <w:t>研究县政府各部门和各乡镇人民政府请示县政府的事项，提出审核意见，报县政府领导同志审批。</w:t>
      </w:r>
    </w:p>
    <w:p>
      <w:pPr>
        <w:pStyle w:val="12"/>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lang w:val="en-US" w:eastAsia="zh-CN"/>
        </w:rPr>
        <w:t>3</w:t>
      </w: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rPr>
        <w:t>负责县政府会议的组织和服务工作，协助实施会议决定事项。</w:t>
      </w:r>
    </w:p>
    <w:p>
      <w:pPr>
        <w:pStyle w:val="12"/>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lang w:val="en-US" w:eastAsia="zh-CN"/>
        </w:rPr>
        <w:t>4</w:t>
      </w: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rPr>
        <w:t>根据县政府领导同志的指示或工作需要，对有关问题进行协调，提出处理意见，报县政府领导同志决定。</w:t>
      </w:r>
    </w:p>
    <w:p>
      <w:pPr>
        <w:pStyle w:val="12"/>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lang w:val="en-US" w:eastAsia="zh-CN"/>
        </w:rPr>
        <w:t>5</w:t>
      </w: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rPr>
        <w:t>办理中央、省政府、市政府和县政府领导同志的批示，并督促落实。督促检查县政府各部门和各乡镇人民政府对县政府公文、县政府决定事项及县政府领导同志有关指示的贯彻落实情况，及时向县政府领导同志报告。负责组织对县政府系统年度工作目标的制定、进度督查和年度绩效评估工作。</w:t>
      </w:r>
    </w:p>
    <w:p>
      <w:pPr>
        <w:pStyle w:val="12"/>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宋体" w:eastAsia="仿宋_GB2312"/>
          <w:b w:val="0"/>
          <w:bCs/>
          <w:sz w:val="32"/>
          <w:szCs w:val="32"/>
          <w:lang w:eastAsia="zh-CN"/>
        </w:rPr>
      </w:pP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lang w:val="en-US" w:eastAsia="zh-CN"/>
        </w:rPr>
        <w:t>6</w:t>
      </w: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rPr>
        <w:t>负责县政府值班工作，及时报告重要情况，传达和督促落实县政府领导同志指示。负责政府大事记工作</w:t>
      </w:r>
      <w:r>
        <w:rPr>
          <w:rFonts w:hint="eastAsia" w:ascii="仿宋_GB2312" w:hAnsi="宋体" w:eastAsia="仿宋_GB2312"/>
          <w:b w:val="0"/>
          <w:bCs/>
          <w:sz w:val="32"/>
          <w:szCs w:val="32"/>
          <w:lang w:eastAsia="zh-CN"/>
        </w:rPr>
        <w:t>。</w:t>
      </w:r>
    </w:p>
    <w:p>
      <w:pPr>
        <w:pStyle w:val="12"/>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lang w:val="en-US" w:eastAsia="zh-CN"/>
        </w:rPr>
        <w:t>7</w:t>
      </w: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rPr>
        <w:t>负责推进全县各工作部门和公共服务企事业单位热线资源的整合，指导推进全县</w:t>
      </w:r>
      <w:r>
        <w:rPr>
          <w:rFonts w:hint="eastAsia" w:ascii="仿宋_GB2312" w:hAnsi="宋体" w:eastAsia="仿宋_GB2312"/>
          <w:b w:val="0"/>
          <w:bCs/>
          <w:sz w:val="32"/>
          <w:szCs w:val="32"/>
          <w:lang w:eastAsia="zh-CN"/>
        </w:rPr>
        <w:t>公共</w:t>
      </w:r>
      <w:r>
        <w:rPr>
          <w:rFonts w:hint="eastAsia" w:ascii="仿宋_GB2312" w:hAnsi="宋体" w:eastAsia="仿宋_GB2312"/>
          <w:b w:val="0"/>
          <w:bCs/>
          <w:sz w:val="32"/>
          <w:szCs w:val="32"/>
        </w:rPr>
        <w:t>服务平台的建设。负责监督检查并考核相关工作部门和公共服务企事业单位社会求助服务事项办理情况，承办、落实市12345热线管理办交办的工单。</w:t>
      </w:r>
    </w:p>
    <w:p>
      <w:pPr>
        <w:pStyle w:val="12"/>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lang w:val="en-US" w:eastAsia="zh-CN"/>
        </w:rPr>
        <w:t>8</w:t>
      </w: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rPr>
        <w:t>组织办理人大代表建议和政协委员提案。组织起草县政府重要综合性文件和重要会议文件；负责开展重大问题的调查研究、决策咨询和县政府重大决策部署落实情况的跟踪调研；整理报送经济社会发展的重要信息、动态；负责对全县政府系统调查研究和决策咨询工作进行业务指导；</w:t>
      </w:r>
    </w:p>
    <w:p>
      <w:pPr>
        <w:pStyle w:val="12"/>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宋体" w:eastAsia="仿宋_GB2312"/>
          <w:b w:val="0"/>
          <w:bCs/>
          <w:color w:val="auto"/>
          <w:sz w:val="32"/>
          <w:szCs w:val="32"/>
          <w:highlight w:val="none"/>
        </w:rPr>
      </w:pP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lang w:val="en-US" w:eastAsia="zh-CN"/>
        </w:rPr>
        <w:t>9）</w:t>
      </w:r>
      <w:r>
        <w:rPr>
          <w:rFonts w:hint="eastAsia" w:ascii="仿宋_GB2312" w:hAnsi="宋体" w:eastAsia="仿宋_GB2312"/>
          <w:b w:val="0"/>
          <w:bCs/>
          <w:sz w:val="32"/>
          <w:szCs w:val="32"/>
        </w:rPr>
        <w:t>负责实施驻县金融管理部门、各类金融机构年度工作绩效评估，引导、协调和鼓励各类金融机构支持、服务全县经济社会发展。组织和协调引进各类金融机构在县设立机构（分支机构），负责小微金融机构的有关监管工作，负责推进全县资本市场建设与发展。负责组织协调金融突发事件应急处置工作，会同有关部门查处和打击非法金融机构和非法金融业务活动，会同有关部门推进全县社会信用体系建设和金融安全区创建，推进改善金融生态环境。</w:t>
      </w:r>
    </w:p>
    <w:p>
      <w:pPr>
        <w:pStyle w:val="12"/>
        <w:keepNext w:val="0"/>
        <w:keepLines w:val="0"/>
        <w:pageBreakBefore w:val="0"/>
        <w:numPr>
          <w:ilvl w:val="0"/>
          <w:numId w:val="2"/>
        </w:numPr>
        <w:kinsoku/>
        <w:wordWrap/>
        <w:overflowPunct/>
        <w:topLinePunct w:val="0"/>
        <w:autoSpaceDE/>
        <w:autoSpaceDN/>
        <w:bidi w:val="0"/>
        <w:adjustRightInd/>
        <w:snapToGrid/>
        <w:spacing w:line="560" w:lineRule="exact"/>
        <w:ind w:firstLine="640"/>
        <w:textAlignment w:val="auto"/>
        <w:rPr>
          <w:rFonts w:hint="eastAsia" w:ascii="仿宋_GB2312" w:hAnsi="仿宋" w:eastAsia="仿宋_GB2312" w:cs="Times New Roman"/>
          <w:b/>
          <w:bCs w:val="0"/>
          <w:color w:val="auto"/>
          <w:sz w:val="32"/>
          <w:szCs w:val="32"/>
          <w:highlight w:val="none"/>
        </w:rPr>
      </w:pPr>
      <w:r>
        <w:rPr>
          <w:rFonts w:hint="eastAsia" w:ascii="仿宋_GB2312" w:hAnsi="仿宋" w:eastAsia="仿宋_GB2312" w:cs="Times New Roman"/>
          <w:b/>
          <w:bCs w:val="0"/>
          <w:color w:val="auto"/>
          <w:sz w:val="32"/>
          <w:szCs w:val="32"/>
          <w:highlight w:val="none"/>
          <w:lang w:eastAsia="zh-CN"/>
        </w:rPr>
        <w:t>单位</w:t>
      </w:r>
      <w:r>
        <w:rPr>
          <w:rFonts w:hint="eastAsia" w:ascii="仿宋_GB2312" w:hAnsi="仿宋" w:eastAsia="仿宋_GB2312" w:cs="Times New Roman"/>
          <w:b/>
          <w:bCs w:val="0"/>
          <w:color w:val="auto"/>
          <w:sz w:val="32"/>
          <w:szCs w:val="32"/>
          <w:highlight w:val="none"/>
        </w:rPr>
        <w:t>机构设置及人员构成</w:t>
      </w:r>
    </w:p>
    <w:p>
      <w:pPr>
        <w:spacing w:line="600" w:lineRule="exact"/>
        <w:ind w:firstLine="960" w:firstLineChars="300"/>
        <w:jc w:val="left"/>
        <w:rPr>
          <w:rFonts w:hint="eastAsia" w:ascii="仿宋_GB2312" w:hAnsi="宋体" w:eastAsia="仿宋_GB2312"/>
          <w:b w:val="0"/>
          <w:bCs/>
          <w:sz w:val="32"/>
          <w:szCs w:val="32"/>
          <w:lang w:eastAsia="zh-CN"/>
        </w:rPr>
      </w:pPr>
      <w:r>
        <w:rPr>
          <w:rFonts w:hint="eastAsia" w:ascii="仿宋_GB2312" w:hAnsi="宋体" w:eastAsia="仿宋_GB2312"/>
          <w:b w:val="0"/>
          <w:bCs/>
          <w:sz w:val="32"/>
          <w:szCs w:val="32"/>
        </w:rPr>
        <w:t>民丰县政府办公室编制数51人，实有人数</w:t>
      </w:r>
      <w:r>
        <w:rPr>
          <w:rFonts w:hint="eastAsia" w:ascii="仿宋_GB2312" w:hAnsi="宋体" w:eastAsia="仿宋_GB2312"/>
          <w:b w:val="0"/>
          <w:bCs/>
          <w:sz w:val="32"/>
          <w:szCs w:val="32"/>
          <w:lang w:val="en-US" w:eastAsia="zh-CN"/>
        </w:rPr>
        <w:t>72</w:t>
      </w:r>
      <w:r>
        <w:rPr>
          <w:rFonts w:hint="eastAsia" w:ascii="仿宋_GB2312" w:hAnsi="宋体" w:eastAsia="仿宋_GB2312"/>
          <w:b w:val="0"/>
          <w:bCs/>
          <w:sz w:val="32"/>
          <w:szCs w:val="32"/>
        </w:rPr>
        <w:t xml:space="preserve">人，其中：在职 </w:t>
      </w:r>
      <w:r>
        <w:rPr>
          <w:rFonts w:hint="eastAsia" w:ascii="仿宋_GB2312" w:hAnsi="宋体" w:eastAsia="仿宋_GB2312"/>
          <w:b w:val="0"/>
          <w:bCs/>
          <w:sz w:val="32"/>
          <w:szCs w:val="32"/>
          <w:lang w:val="en-US" w:eastAsia="zh-CN"/>
        </w:rPr>
        <w:t>72</w:t>
      </w:r>
      <w:r>
        <w:rPr>
          <w:rFonts w:hint="eastAsia" w:ascii="仿宋_GB2312" w:hAnsi="宋体" w:eastAsia="仿宋_GB2312"/>
          <w:b w:val="0"/>
          <w:bCs/>
          <w:sz w:val="32"/>
          <w:szCs w:val="32"/>
        </w:rPr>
        <w:t>人；行政编制1</w:t>
      </w:r>
      <w:r>
        <w:rPr>
          <w:rFonts w:hint="eastAsia" w:ascii="仿宋_GB2312" w:hAnsi="宋体" w:eastAsia="仿宋_GB2312"/>
          <w:b w:val="0"/>
          <w:bCs/>
          <w:sz w:val="32"/>
          <w:szCs w:val="32"/>
          <w:lang w:val="en-US" w:eastAsia="zh-CN"/>
        </w:rPr>
        <w:t>8</w:t>
      </w:r>
      <w:r>
        <w:rPr>
          <w:rFonts w:hint="eastAsia" w:ascii="仿宋_GB2312" w:hAnsi="宋体" w:eastAsia="仿宋_GB2312"/>
          <w:b w:val="0"/>
          <w:bCs/>
          <w:sz w:val="32"/>
          <w:szCs w:val="32"/>
        </w:rPr>
        <w:t>人，参照公务员法管理事业人员2人，非参公事业人员</w:t>
      </w:r>
      <w:r>
        <w:rPr>
          <w:rFonts w:hint="eastAsia" w:ascii="仿宋_GB2312" w:hAnsi="宋体" w:eastAsia="仿宋_GB2312"/>
          <w:b w:val="0"/>
          <w:bCs/>
          <w:sz w:val="32"/>
          <w:szCs w:val="32"/>
          <w:lang w:val="en-US" w:eastAsia="zh-CN"/>
        </w:rPr>
        <w:t>52</w:t>
      </w:r>
      <w:r>
        <w:rPr>
          <w:rFonts w:hint="eastAsia" w:ascii="仿宋_GB2312" w:hAnsi="宋体" w:eastAsia="仿宋_GB2312"/>
          <w:b w:val="0"/>
          <w:bCs/>
          <w:sz w:val="32"/>
          <w:szCs w:val="32"/>
        </w:rPr>
        <w:t>人</w:t>
      </w:r>
      <w:r>
        <w:rPr>
          <w:rFonts w:hint="eastAsia" w:ascii="仿宋_GB2312" w:hAnsi="宋体" w:eastAsia="仿宋_GB2312"/>
          <w:b w:val="0"/>
          <w:bCs/>
          <w:sz w:val="32"/>
          <w:szCs w:val="32"/>
          <w:lang w:eastAsia="zh-CN"/>
        </w:rPr>
        <w:t>。</w:t>
      </w:r>
    </w:p>
    <w:p>
      <w:pPr>
        <w:ind w:firstLine="320" w:firstLineChars="100"/>
        <w:rPr>
          <w:rFonts w:hint="eastAsia"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（二）</w:t>
      </w:r>
      <w:r>
        <w:rPr>
          <w:rFonts w:ascii="黑体" w:hAnsi="黑体" w:eastAsia="黑体" w:cs="宋体"/>
          <w:b/>
          <w:color w:val="auto"/>
          <w:sz w:val="32"/>
          <w:szCs w:val="32"/>
          <w:highlight w:val="none"/>
          <w:lang w:bidi="ar"/>
        </w:rPr>
        <w:t>部门单位年度重点工作：</w:t>
      </w:r>
    </w:p>
    <w:p>
      <w:pPr>
        <w:spacing w:line="600" w:lineRule="exact"/>
        <w:ind w:firstLine="960" w:firstLineChars="300"/>
        <w:jc w:val="left"/>
        <w:rPr>
          <w:rFonts w:hint="eastAsia" w:ascii="仿宋_GB2312" w:hAnsi="宋体" w:eastAsia="仿宋_GB2312"/>
          <w:b w:val="0"/>
          <w:bCs/>
          <w:sz w:val="32"/>
          <w:szCs w:val="32"/>
          <w:lang w:eastAsia="zh-CN"/>
        </w:rPr>
      </w:pP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lang w:val="en-US" w:eastAsia="zh-CN"/>
        </w:rPr>
        <w:t>1</w:t>
      </w:r>
      <w:r>
        <w:rPr>
          <w:rFonts w:hint="eastAsia" w:ascii="仿宋_GB2312" w:hAnsi="宋体" w:eastAsia="仿宋_GB2312"/>
          <w:b w:val="0"/>
          <w:bCs/>
          <w:sz w:val="32"/>
          <w:szCs w:val="32"/>
          <w:lang w:eastAsia="zh-CN"/>
        </w:rPr>
        <w:t>）贯彻落实党的基本理论、基本路线、基本 方略和县党委、政府的决定，发挥参谋助手、督促检查、跟踪调研作用，履行“办文、办会、办事”职能，主动、优质、高效做好为领导服务、为部门服务、为基层和群众服务工作。坚持依法行政，严格规章制度和办事程序，实行科学民主决策，确保政府工作优质高效有序运转。</w:t>
      </w:r>
    </w:p>
    <w:p>
      <w:pPr>
        <w:spacing w:line="600" w:lineRule="exact"/>
        <w:ind w:firstLine="960" w:firstLineChars="300"/>
        <w:jc w:val="left"/>
        <w:rPr>
          <w:rFonts w:hint="eastAsia" w:ascii="仿宋_GB2312" w:hAnsi="宋体" w:eastAsia="仿宋_GB2312"/>
          <w:b w:val="0"/>
          <w:bCs/>
          <w:sz w:val="32"/>
          <w:szCs w:val="32"/>
          <w:lang w:eastAsia="zh-CN"/>
        </w:rPr>
      </w:pP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lang w:val="en-US" w:eastAsia="zh-CN"/>
        </w:rPr>
        <w:t>2</w:t>
      </w:r>
      <w:r>
        <w:rPr>
          <w:rFonts w:hint="eastAsia" w:ascii="仿宋_GB2312" w:hAnsi="宋体" w:eastAsia="仿宋_GB2312"/>
          <w:b w:val="0"/>
          <w:bCs/>
          <w:sz w:val="32"/>
          <w:szCs w:val="32"/>
          <w:lang w:eastAsia="zh-CN"/>
        </w:rPr>
        <w:t>）保障办公室正常运转，同时保障政府公文、会议决定事项及县政府领导有关指示的执行落实情况并跟踪调研，及时向县政府领导同志报告，做好“12345”政务服务热线和国务院“互联网＋督查”督办转办工作，做好提高政府服务水平。</w:t>
      </w:r>
    </w:p>
    <w:p>
      <w:pPr>
        <w:spacing w:line="600" w:lineRule="exact"/>
        <w:ind w:firstLine="961" w:firstLineChars="300"/>
        <w:jc w:val="left"/>
        <w:rPr>
          <w:rFonts w:hint="eastAsia"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（三）</w:t>
      </w:r>
      <w:r>
        <w:rPr>
          <w:rFonts w:ascii="黑体" w:hAnsi="黑体" w:eastAsia="黑体" w:cs="宋体"/>
          <w:b/>
          <w:color w:val="auto"/>
          <w:sz w:val="32"/>
          <w:szCs w:val="32"/>
          <w:highlight w:val="none"/>
          <w:lang w:bidi="ar"/>
        </w:rPr>
        <w:t>部门单位整体预算规模及安排情况：</w:t>
      </w:r>
    </w:p>
    <w:p>
      <w:pPr>
        <w:spacing w:line="540" w:lineRule="exact"/>
        <w:ind w:firstLine="564" w:firstLineChars="181"/>
        <w:rPr>
          <w:rStyle w:val="9"/>
          <w:rFonts w:hint="eastAsia" w:ascii="仿宋_GB2312" w:hAnsi="楷体" w:eastAsia="仿宋_GB2312"/>
          <w:b w:val="0"/>
          <w:color w:val="auto"/>
          <w:spacing w:val="-4"/>
          <w:sz w:val="32"/>
          <w:szCs w:val="32"/>
          <w:highlight w:val="none"/>
          <w:lang w:eastAsia="zh-CN"/>
        </w:rPr>
      </w:pPr>
      <w:r>
        <w:rPr>
          <w:rStyle w:val="9"/>
          <w:rFonts w:hint="eastAsia" w:ascii="仿宋_GB2312" w:hAnsi="楷体" w:eastAsia="仿宋_GB2312"/>
          <w:b w:val="0"/>
          <w:color w:val="auto"/>
          <w:spacing w:val="-4"/>
          <w:sz w:val="32"/>
          <w:szCs w:val="32"/>
          <w:highlight w:val="none"/>
          <w:lang w:val="en-US" w:eastAsia="zh-CN"/>
        </w:rPr>
        <w:t>包括年初预算安排、年中调整（追加减）情况，</w:t>
      </w:r>
      <w:r>
        <w:rPr>
          <w:rStyle w:val="9"/>
          <w:rFonts w:hint="eastAsia" w:ascii="仿宋_GB2312" w:hAnsi="楷体" w:eastAsia="仿宋_GB2312"/>
          <w:b w:val="0"/>
          <w:color w:val="auto"/>
          <w:spacing w:val="-4"/>
          <w:sz w:val="32"/>
          <w:szCs w:val="32"/>
          <w:highlight w:val="none"/>
          <w:lang w:eastAsia="zh-CN"/>
        </w:rPr>
        <w:t>资金使用主要内容、涉及的范围。</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color w:val="auto"/>
          <w:highlight w:val="none"/>
          <w:lang w:eastAsia="zh-CN"/>
        </w:rPr>
      </w:pPr>
      <w:r>
        <w:rPr>
          <w:rFonts w:hint="eastAsia" w:ascii="仿宋_GB2312" w:hAnsi="方正楷体简体" w:eastAsia="仿宋_GB2312" w:cs="宋体"/>
          <w:b/>
          <w:bCs/>
          <w:color w:val="auto"/>
          <w:sz w:val="32"/>
          <w:szCs w:val="32"/>
          <w:highlight w:val="none"/>
        </w:rPr>
        <w:t>1．部门</w:t>
      </w:r>
      <w:r>
        <w:rPr>
          <w:rFonts w:hint="eastAsia" w:ascii="仿宋_GB2312" w:hAnsi="方正楷体简体" w:eastAsia="仿宋_GB2312" w:cs="宋体"/>
          <w:b/>
          <w:bCs/>
          <w:color w:val="auto"/>
          <w:sz w:val="32"/>
          <w:szCs w:val="32"/>
          <w:highlight w:val="none"/>
          <w:lang w:eastAsia="zh-CN"/>
        </w:rPr>
        <w:t>单位</w:t>
      </w:r>
      <w:r>
        <w:rPr>
          <w:rFonts w:hint="eastAsia" w:ascii="仿宋_GB2312" w:hAnsi="方正楷体简体" w:eastAsia="仿宋_GB2312" w:cs="宋体"/>
          <w:b/>
          <w:bCs/>
          <w:color w:val="auto"/>
          <w:sz w:val="32"/>
          <w:szCs w:val="32"/>
          <w:highlight w:val="none"/>
        </w:rPr>
        <w:t>整体支出规模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中央安排资金：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自治区安排资金：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0万元，预算数（调整后）17万元，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10.69万元，执行率62.88%。</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b w:val="0"/>
          <w:bCs w:val="0"/>
          <w:color w:val="auto"/>
          <w:kern w:val="2"/>
          <w:sz w:val="32"/>
          <w:szCs w:val="32"/>
          <w:highlight w:val="none"/>
          <w:lang w:val="en-US" w:eastAsia="zh-CN" w:bidi="ar-SA"/>
        </w:rPr>
      </w:pPr>
      <w:r>
        <w:rPr>
          <w:rFonts w:hint="eastAsia" w:ascii="仿宋_GB2312" w:hAnsi="方正楷体简体" w:eastAsia="仿宋_GB2312" w:cs="宋体"/>
          <w:color w:val="auto"/>
          <w:sz w:val="32"/>
          <w:szCs w:val="32"/>
          <w:highlight w:val="none"/>
        </w:rPr>
        <w:t>地（州、市）安排：年初预算数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rPr>
        <w:t>县（市、区）安排：年初预算数</w:t>
      </w:r>
      <w:r>
        <w:rPr>
          <w:rFonts w:hint="eastAsia" w:ascii="仿宋_GB2312" w:hAnsi="方正楷体简体" w:eastAsia="仿宋_GB2312" w:cs="宋体"/>
          <w:color w:val="auto"/>
          <w:sz w:val="32"/>
          <w:szCs w:val="32"/>
          <w:highlight w:val="none"/>
          <w:lang w:val="en-US" w:eastAsia="zh-CN"/>
        </w:rPr>
        <w:t>1849.07万元，预算数（调整后）2304.73万元，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2232.96万元，执行率96.89%。</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lang w:val="en-US" w:eastAsia="zh-CN"/>
        </w:rPr>
        <w:t>其他资金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1.16万元，预算数（调整后）0万元，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（1）基本支出情况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民丰县人民政府办公室</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2053.6</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1624.08</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429.52</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2053.6</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（2）预算项目支出情况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民丰县人民政府办公室</w:t>
      </w:r>
      <w:r>
        <w:rPr>
          <w:rFonts w:hint="eastAsia" w:ascii="仿宋_GB2312" w:hAnsi="方正楷体简体" w:eastAsia="仿宋_GB2312" w:cs="宋体"/>
          <w:color w:val="auto"/>
          <w:sz w:val="32"/>
          <w:szCs w:val="32"/>
          <w:highlight w:val="none"/>
        </w:rPr>
        <w:t>预算项目支出数共计</w:t>
      </w:r>
      <w:r>
        <w:rPr>
          <w:rFonts w:hint="eastAsia" w:ascii="仿宋_GB2312" w:hAnsi="方正楷体简体" w:eastAsia="仿宋_GB2312" w:cs="宋体"/>
          <w:color w:val="auto"/>
          <w:sz w:val="32"/>
          <w:szCs w:val="32"/>
          <w:highlight w:val="none"/>
          <w:lang w:val="en-US" w:eastAsia="zh-CN"/>
        </w:rPr>
        <w:t>14</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251.13</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179.36</w:t>
      </w:r>
      <w:r>
        <w:rPr>
          <w:rFonts w:hint="eastAsia" w:ascii="仿宋_GB2312" w:hAnsi="方正楷体简体" w:eastAsia="仿宋_GB2312" w:cs="宋体"/>
          <w:color w:val="auto"/>
          <w:sz w:val="32"/>
          <w:szCs w:val="32"/>
          <w:highlight w:val="none"/>
        </w:rPr>
        <w:t>万元，执行率</w:t>
      </w:r>
      <w:r>
        <w:rPr>
          <w:rFonts w:hint="eastAsia" w:ascii="仿宋_GB2312" w:hAnsi="方正楷体简体" w:eastAsia="仿宋_GB2312" w:cs="宋体"/>
          <w:color w:val="auto"/>
          <w:sz w:val="32"/>
          <w:szCs w:val="32"/>
          <w:highlight w:val="none"/>
          <w:lang w:val="en-US" w:eastAsia="zh-CN"/>
        </w:rPr>
        <w:t>71.42</w:t>
      </w:r>
      <w:r>
        <w:rPr>
          <w:rFonts w:hint="eastAsia" w:ascii="仿宋_GB2312" w:hAnsi="方正楷体简体" w:eastAsia="仿宋_GB2312" w:cs="宋体"/>
          <w:color w:val="auto"/>
          <w:sz w:val="32"/>
          <w:szCs w:val="32"/>
          <w:highlight w:val="none"/>
        </w:rPr>
        <w:t>%；其中，年初</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预算批复的整体支出绩效目标表中，项目支出预算数</w:t>
      </w:r>
      <w:r>
        <w:rPr>
          <w:rFonts w:hint="eastAsia" w:ascii="仿宋_GB2312" w:hAnsi="方正楷体简体" w:eastAsia="仿宋_GB2312" w:cs="宋体"/>
          <w:color w:val="auto"/>
          <w:sz w:val="32"/>
          <w:szCs w:val="32"/>
          <w:highlight w:val="none"/>
          <w:lang w:val="en-US" w:eastAsia="zh-CN"/>
        </w:rPr>
        <w:t>60</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60</w:t>
      </w:r>
      <w:r>
        <w:rPr>
          <w:rFonts w:hint="eastAsia" w:ascii="仿宋_GB2312" w:hAnsi="方正楷体简体" w:eastAsia="仿宋_GB2312" w:cs="宋体"/>
          <w:color w:val="auto"/>
          <w:sz w:val="32"/>
          <w:szCs w:val="32"/>
          <w:highlight w:val="none"/>
        </w:rPr>
        <w:t>万元，年中追加项目支出预算数</w:t>
      </w:r>
      <w:r>
        <w:rPr>
          <w:rFonts w:hint="eastAsia" w:ascii="仿宋_GB2312" w:hAnsi="方正楷体简体" w:eastAsia="仿宋_GB2312" w:cs="宋体"/>
          <w:color w:val="auto"/>
          <w:sz w:val="32"/>
          <w:szCs w:val="32"/>
          <w:highlight w:val="none"/>
          <w:lang w:val="en-US" w:eastAsia="zh-CN"/>
        </w:rPr>
        <w:t>191.13</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119.36</w:t>
      </w:r>
      <w:r>
        <w:rPr>
          <w:rFonts w:hint="eastAsia" w:ascii="仿宋_GB2312" w:hAnsi="方正楷体简体" w:eastAsia="仿宋_GB2312" w:cs="宋体"/>
          <w:color w:val="auto"/>
          <w:sz w:val="32"/>
          <w:szCs w:val="32"/>
          <w:highlight w:val="none"/>
        </w:rPr>
        <w:t>万元。</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（3）专项资金项目支出情况</w:t>
      </w:r>
      <w:r>
        <w:rPr>
          <w:rFonts w:hint="eastAsia" w:ascii="仿宋_GB2312" w:hAnsi="方正楷体简体" w:eastAsia="仿宋_GB2312" w:cs="宋体"/>
          <w:color w:val="auto"/>
          <w:sz w:val="32"/>
          <w:szCs w:val="32"/>
          <w:highlight w:val="none"/>
        </w:rPr>
        <w:tab/>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color w:val="auto"/>
          <w:highlight w:val="none"/>
        </w:rPr>
      </w:pPr>
      <w:r>
        <w:rPr>
          <w:rFonts w:hint="eastAsia" w:ascii="仿宋_GB2312" w:hAnsi="方正楷体简体" w:eastAsia="仿宋_GB2312" w:cs="宋体"/>
          <w:color w:val="auto"/>
          <w:sz w:val="32"/>
          <w:szCs w:val="32"/>
          <w:highlight w:val="none"/>
        </w:rPr>
        <w:t>截至12月31日，上级专项资金项目共计</w:t>
      </w:r>
      <w:r>
        <w:rPr>
          <w:rFonts w:hint="eastAsia" w:ascii="仿宋_GB2312" w:hAnsi="方正楷体简体" w:eastAsia="仿宋_GB2312" w:cs="宋体"/>
          <w:color w:val="auto"/>
          <w:sz w:val="32"/>
          <w:szCs w:val="32"/>
          <w:highlight w:val="none"/>
          <w:lang w:val="en-US" w:eastAsia="zh-CN"/>
        </w:rPr>
        <w:t>1</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17</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10.69</w:t>
      </w:r>
      <w:r>
        <w:rPr>
          <w:rFonts w:hint="eastAsia" w:ascii="仿宋_GB2312" w:hAnsi="方正楷体简体" w:eastAsia="仿宋_GB2312" w:cs="宋体"/>
          <w:color w:val="auto"/>
          <w:sz w:val="32"/>
          <w:szCs w:val="32"/>
          <w:highlight w:val="none"/>
        </w:rPr>
        <w:t>万元，执行率</w:t>
      </w:r>
      <w:r>
        <w:rPr>
          <w:rFonts w:hint="eastAsia" w:ascii="仿宋_GB2312" w:hAnsi="方正楷体简体" w:eastAsia="仿宋_GB2312" w:cs="宋体"/>
          <w:color w:val="auto"/>
          <w:sz w:val="32"/>
          <w:szCs w:val="32"/>
          <w:highlight w:val="none"/>
          <w:lang w:val="en-US" w:eastAsia="zh-CN"/>
        </w:rPr>
        <w:t>62.88</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2．使用方法</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color w:val="auto"/>
          <w:sz w:val="32"/>
          <w:szCs w:val="32"/>
          <w:highlight w:val="none"/>
        </w:rPr>
        <w:t>基本支出由财政</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按照进度每月分期拨付，人员支出按照工资计划发放工资；涉及资</w:t>
      </w:r>
      <w:r>
        <w:rPr>
          <w:rFonts w:hint="eastAsia" w:ascii="仿宋_GB2312" w:hAnsi="方正楷体简体" w:eastAsia="仿宋_GB2312" w:cs="宋体"/>
          <w:color w:val="auto"/>
          <w:sz w:val="32"/>
          <w:szCs w:val="32"/>
          <w:highlight w:val="none"/>
          <w:lang w:eastAsia="zh-CN"/>
        </w:rPr>
        <w:t>金支</w:t>
      </w:r>
      <w:r>
        <w:rPr>
          <w:rFonts w:hint="eastAsia" w:ascii="仿宋_GB2312" w:hAnsi="方正楷体简体" w:eastAsia="仿宋_GB2312" w:cs="宋体"/>
          <w:color w:val="auto"/>
          <w:sz w:val="32"/>
          <w:szCs w:val="32"/>
          <w:highlight w:val="none"/>
        </w:rPr>
        <w:t>出按照我单位《内控制度》中设定的流程申报审批进行；项目支出属于政府采购的，组织人员制定采购计划，委托公共资源交易中心或采购中心进行公开招标、邀请招标等方式进行；属于非政府采购的项目，按照“三重一大”制度规定，重大项目支出上党组会研究决定。</w:t>
      </w:r>
    </w:p>
    <w:p>
      <w:pPr>
        <w:keepNext w:val="0"/>
        <w:keepLines w:val="0"/>
        <w:pageBreakBefore w:val="0"/>
        <w:tabs>
          <w:tab w:val="left" w:pos="312"/>
        </w:tabs>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3．主要内容及涉及范围</w:t>
      </w:r>
    </w:p>
    <w:p>
      <w:pPr>
        <w:pStyle w:val="13"/>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Ansi="方正楷体简体"/>
          <w:color w:val="auto"/>
          <w:highlight w:val="none"/>
        </w:rPr>
      </w:pPr>
      <w:r>
        <w:rPr>
          <w:rFonts w:hint="eastAsia" w:hAnsi="方正楷体简体"/>
          <w:color w:val="auto"/>
          <w:highlight w:val="none"/>
        </w:rPr>
        <w:t>（1）基本支出包括人员经费和公用经费。公用经费主要包括：办公费、印刷费、咨询费、手续费、水费、电费、邮电费、取暖费、物业管理费、差旅费、维修（护）费、租赁费、会议费、培训费、公务接待费、专用材料费、专用燃料费、劳务费、工会经费、福利费、公务用车运行维护费、其他交通费用、税金及附加费用、其他商品和服务支出、办公设备购置、专用设备购置等。</w:t>
      </w:r>
    </w:p>
    <w:p>
      <w:pPr>
        <w:pStyle w:val="13"/>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Ansi="方正楷体简体"/>
          <w:b/>
          <w:color w:val="auto"/>
          <w:highlight w:val="none"/>
        </w:rPr>
      </w:pPr>
      <w:r>
        <w:rPr>
          <w:rFonts w:hint="eastAsia" w:hAnsi="方正楷体简体"/>
          <w:color w:val="auto"/>
          <w:highlight w:val="none"/>
        </w:rPr>
        <w:t>（2）202</w:t>
      </w:r>
      <w:r>
        <w:rPr>
          <w:rFonts w:hint="eastAsia" w:hAnsi="方正楷体简体"/>
          <w:color w:val="auto"/>
          <w:highlight w:val="none"/>
          <w:lang w:val="en-US" w:eastAsia="zh-CN"/>
        </w:rPr>
        <w:t>3</w:t>
      </w:r>
      <w:r>
        <w:rPr>
          <w:rFonts w:hint="eastAsia" w:hAnsi="方正楷体简体"/>
          <w:color w:val="auto"/>
          <w:highlight w:val="none"/>
        </w:rPr>
        <w:t>年度</w:t>
      </w:r>
      <w:r>
        <w:rPr>
          <w:rFonts w:hint="eastAsia" w:hAnsi="方正楷体简体"/>
          <w:color w:val="auto"/>
          <w:highlight w:val="none"/>
          <w:lang w:eastAsia="zh-CN"/>
        </w:rPr>
        <w:t>民丰县人民政府办公室</w:t>
      </w:r>
      <w:r>
        <w:rPr>
          <w:rFonts w:hint="eastAsia" w:hAnsi="方正楷体简体"/>
          <w:color w:val="auto"/>
          <w:highlight w:val="none"/>
        </w:rPr>
        <w:t>项目支出共涉及</w:t>
      </w:r>
      <w:r>
        <w:rPr>
          <w:rFonts w:hint="eastAsia" w:hAnsi="方正楷体简体"/>
          <w:color w:val="auto"/>
          <w:highlight w:val="none"/>
          <w:lang w:val="en-US" w:eastAsia="zh-CN"/>
        </w:rPr>
        <w:t>15个</w:t>
      </w:r>
      <w:r>
        <w:rPr>
          <w:rFonts w:hint="eastAsia" w:hAnsi="方正楷体简体"/>
          <w:color w:val="auto"/>
          <w:highlight w:val="none"/>
        </w:rPr>
        <w:t>项目，分别为：</w:t>
      </w:r>
    </w:p>
    <w:tbl>
      <w:tblPr>
        <w:tblStyle w:val="7"/>
        <w:tblW w:w="99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06"/>
        <w:gridCol w:w="2525"/>
        <w:gridCol w:w="2783"/>
      </w:tblGrid>
      <w:tr>
        <w:trPr>
          <w:trHeight w:val="525" w:hRule="atLeast"/>
        </w:trPr>
        <w:tc>
          <w:tcPr>
            <w:tcW w:w="4606" w:type="dxa"/>
            <w:vAlign w:val="center"/>
          </w:tcPr>
          <w:p>
            <w:pPr>
              <w:pStyle w:val="12"/>
              <w:spacing w:line="560" w:lineRule="exact"/>
              <w:ind w:firstLine="200" w:firstLineChars="0"/>
              <w:jc w:val="center"/>
              <w:rPr>
                <w:rStyle w:val="9"/>
                <w:rFonts w:hint="eastAsia" w:ascii="仿宋_GB2312" w:hAnsi="黑体" w:eastAsia="仿宋_GB2312" w:cs="Times New Roman"/>
                <w:b w:val="0"/>
                <w:color w:val="auto"/>
                <w:spacing w:val="-4"/>
                <w:sz w:val="32"/>
                <w:szCs w:val="32"/>
                <w:highlight w:val="none"/>
              </w:rPr>
            </w:pPr>
            <w:r>
              <w:rPr>
                <w:rStyle w:val="9"/>
                <w:rFonts w:hint="eastAsia" w:ascii="仿宋_GB2312" w:hAnsi="黑体" w:eastAsia="仿宋_GB2312" w:cs="Times New Roman"/>
                <w:b w:val="0"/>
                <w:color w:val="auto"/>
                <w:spacing w:val="-4"/>
                <w:sz w:val="32"/>
                <w:szCs w:val="32"/>
                <w:highlight w:val="none"/>
              </w:rPr>
              <w:t>项目名称</w:t>
            </w:r>
          </w:p>
        </w:tc>
        <w:tc>
          <w:tcPr>
            <w:tcW w:w="2525" w:type="dxa"/>
            <w:vAlign w:val="center"/>
          </w:tcPr>
          <w:p>
            <w:pPr>
              <w:pStyle w:val="12"/>
              <w:spacing w:line="560" w:lineRule="exact"/>
              <w:ind w:firstLine="200" w:firstLineChars="0"/>
              <w:jc w:val="both"/>
              <w:rPr>
                <w:rStyle w:val="9"/>
                <w:rFonts w:hint="eastAsia" w:ascii="仿宋_GB2312" w:hAnsi="黑体" w:eastAsia="仿宋_GB2312" w:cs="Times New Roman"/>
                <w:b w:val="0"/>
                <w:color w:val="auto"/>
                <w:spacing w:val="-4"/>
                <w:sz w:val="32"/>
                <w:szCs w:val="32"/>
                <w:highlight w:val="none"/>
                <w:lang w:eastAsia="zh-CN"/>
              </w:rPr>
            </w:pPr>
            <w:r>
              <w:rPr>
                <w:rStyle w:val="9"/>
                <w:rFonts w:hint="eastAsia" w:ascii="仿宋_GB2312" w:hAnsi="黑体" w:eastAsia="仿宋_GB2312" w:cs="Times New Roman"/>
                <w:b w:val="0"/>
                <w:color w:val="auto"/>
                <w:spacing w:val="-4"/>
                <w:sz w:val="32"/>
                <w:szCs w:val="32"/>
                <w:highlight w:val="none"/>
              </w:rPr>
              <w:t>总预算</w:t>
            </w:r>
            <w:r>
              <w:rPr>
                <w:rStyle w:val="9"/>
                <w:rFonts w:hint="eastAsia" w:ascii="仿宋_GB2312" w:hAnsi="黑体" w:eastAsia="仿宋_GB2312" w:cs="Times New Roman"/>
                <w:b w:val="0"/>
                <w:color w:val="auto"/>
                <w:spacing w:val="-4"/>
                <w:sz w:val="32"/>
                <w:szCs w:val="32"/>
                <w:highlight w:val="none"/>
                <w:lang w:eastAsia="zh-CN"/>
              </w:rPr>
              <w:t>（</w:t>
            </w:r>
            <w:r>
              <w:rPr>
                <w:rStyle w:val="9"/>
                <w:rFonts w:hint="eastAsia" w:ascii="仿宋_GB2312" w:hAnsi="黑体" w:eastAsia="仿宋_GB2312" w:cs="Times New Roman"/>
                <w:b w:val="0"/>
                <w:color w:val="auto"/>
                <w:spacing w:val="-4"/>
                <w:sz w:val="32"/>
                <w:szCs w:val="32"/>
                <w:highlight w:val="none"/>
                <w:lang w:val="en-US" w:eastAsia="zh-CN"/>
              </w:rPr>
              <w:t>万元</w:t>
            </w:r>
            <w:r>
              <w:rPr>
                <w:rStyle w:val="9"/>
                <w:rFonts w:hint="eastAsia" w:ascii="仿宋_GB2312" w:hAnsi="黑体" w:eastAsia="仿宋_GB2312" w:cs="Times New Roman"/>
                <w:b w:val="0"/>
                <w:color w:val="auto"/>
                <w:spacing w:val="-4"/>
                <w:sz w:val="32"/>
                <w:szCs w:val="32"/>
                <w:highlight w:val="none"/>
                <w:lang w:eastAsia="zh-CN"/>
              </w:rPr>
              <w:t>）</w:t>
            </w:r>
          </w:p>
        </w:tc>
        <w:tc>
          <w:tcPr>
            <w:tcW w:w="2783" w:type="dxa"/>
            <w:vAlign w:val="center"/>
          </w:tcPr>
          <w:p>
            <w:pPr>
              <w:pStyle w:val="12"/>
              <w:spacing w:line="560" w:lineRule="exact"/>
              <w:ind w:firstLine="200" w:firstLineChars="0"/>
              <w:jc w:val="center"/>
              <w:rPr>
                <w:rStyle w:val="9"/>
                <w:rFonts w:hint="eastAsia" w:ascii="仿宋_GB2312" w:hAnsi="黑体" w:eastAsia="仿宋_GB2312" w:cs="Times New Roman"/>
                <w:b w:val="0"/>
                <w:color w:val="auto"/>
                <w:spacing w:val="-4"/>
                <w:sz w:val="32"/>
                <w:szCs w:val="32"/>
                <w:highlight w:val="none"/>
                <w:lang w:eastAsia="zh-CN"/>
              </w:rPr>
            </w:pPr>
            <w:r>
              <w:rPr>
                <w:rStyle w:val="9"/>
                <w:rFonts w:hint="eastAsia" w:ascii="仿宋_GB2312" w:hAnsi="黑体" w:eastAsia="仿宋_GB2312" w:cs="Times New Roman"/>
                <w:b w:val="0"/>
                <w:color w:val="auto"/>
                <w:spacing w:val="-4"/>
                <w:sz w:val="32"/>
                <w:szCs w:val="32"/>
                <w:highlight w:val="none"/>
                <w:lang w:eastAsia="zh-CN"/>
              </w:rPr>
              <w:t>项目属性</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访惠聚为民办实事经费</w:t>
            </w:r>
          </w:p>
        </w:tc>
        <w:tc>
          <w:tcPr>
            <w:tcW w:w="2525" w:type="dxa"/>
            <w:vAlign w:val="bottom"/>
          </w:tcPr>
          <w:p>
            <w:pPr>
              <w:keepNext w:val="0"/>
              <w:keepLines w:val="0"/>
              <w:widowControl/>
              <w:suppressLineNumbers w:val="0"/>
              <w:jc w:val="right"/>
              <w:textAlignment w:val="bottom"/>
              <w:rPr>
                <w:rFonts w:hint="default"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17</w:t>
            </w:r>
          </w:p>
        </w:tc>
        <w:tc>
          <w:tcPr>
            <w:tcW w:w="2783"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自治区专项</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特殊疑难信访补助资金</w:t>
            </w:r>
          </w:p>
        </w:tc>
        <w:tc>
          <w:tcPr>
            <w:tcW w:w="2525" w:type="dxa"/>
            <w:vAlign w:val="bottom"/>
          </w:tcPr>
          <w:p>
            <w:pPr>
              <w:keepNext w:val="0"/>
              <w:keepLines w:val="0"/>
              <w:widowControl/>
              <w:suppressLineNumbers w:val="0"/>
              <w:jc w:val="righ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2.8</w:t>
            </w:r>
          </w:p>
        </w:tc>
        <w:tc>
          <w:tcPr>
            <w:tcW w:w="2783"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年中追加</w:t>
            </w:r>
          </w:p>
        </w:tc>
      </w:tr>
      <w:tr>
        <w:trPr>
          <w:trHeight w:val="90" w:hRule="atLeast"/>
        </w:trP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eastAsia" w:ascii="宋体" w:hAnsi="宋体" w:eastAsia="宋体" w:cs="宋体"/>
                <w:i w:val="0"/>
                <w:color w:val="000000"/>
                <w:kern w:val="0"/>
                <w:sz w:val="24"/>
                <w:szCs w:val="24"/>
                <w:u w:val="none"/>
                <w:lang w:val="en-US" w:eastAsia="zh-CN" w:bidi="ar"/>
              </w:rPr>
              <w:t>聘请法律顾问（年初）</w:t>
            </w:r>
          </w:p>
        </w:tc>
        <w:tc>
          <w:tcPr>
            <w:tcW w:w="2525" w:type="dxa"/>
            <w:vAlign w:val="bottom"/>
          </w:tcPr>
          <w:p>
            <w:pPr>
              <w:keepNext w:val="0"/>
              <w:keepLines w:val="0"/>
              <w:widowControl/>
              <w:suppressLineNumbers w:val="0"/>
              <w:jc w:val="right"/>
              <w:textAlignment w:val="bottom"/>
              <w:rPr>
                <w:rFonts w:hint="default"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60</w:t>
            </w:r>
          </w:p>
        </w:tc>
        <w:tc>
          <w:tcPr>
            <w:tcW w:w="2783"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年初预算</w:t>
            </w:r>
          </w:p>
        </w:tc>
      </w:tr>
      <w:tr>
        <w:trPr>
          <w:trHeight w:val="177" w:hRule="atLeast"/>
        </w:trP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工作队为民办实事工作经费</w:t>
            </w:r>
          </w:p>
        </w:tc>
        <w:tc>
          <w:tcPr>
            <w:tcW w:w="2525" w:type="dxa"/>
            <w:vAlign w:val="bottom"/>
          </w:tcPr>
          <w:p>
            <w:pPr>
              <w:keepNext w:val="0"/>
              <w:keepLines w:val="0"/>
              <w:widowControl/>
              <w:suppressLineNumbers w:val="0"/>
              <w:jc w:val="right"/>
              <w:textAlignment w:val="bottom"/>
              <w:rPr>
                <w:rFonts w:hint="default"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0.87</w:t>
            </w:r>
          </w:p>
        </w:tc>
        <w:tc>
          <w:tcPr>
            <w:tcW w:w="2783"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年中追加</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第一书记为民办实事工作经费</w:t>
            </w:r>
          </w:p>
        </w:tc>
        <w:tc>
          <w:tcPr>
            <w:tcW w:w="2525" w:type="dxa"/>
            <w:vAlign w:val="bottom"/>
          </w:tcPr>
          <w:p>
            <w:pPr>
              <w:keepNext w:val="0"/>
              <w:keepLines w:val="0"/>
              <w:widowControl/>
              <w:suppressLineNumbers w:val="0"/>
              <w:jc w:val="righ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0.3</w:t>
            </w:r>
          </w:p>
        </w:tc>
        <w:tc>
          <w:tcPr>
            <w:tcW w:w="2783"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年中追加</w:t>
            </w:r>
          </w:p>
        </w:tc>
      </w:tr>
      <w:tr>
        <w:trPr>
          <w:trHeight w:val="365" w:hRule="atLeast"/>
        </w:trP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民丰县滞留在外人员慰问费</w:t>
            </w:r>
          </w:p>
        </w:tc>
        <w:tc>
          <w:tcPr>
            <w:tcW w:w="2525" w:type="dxa"/>
            <w:vAlign w:val="bottom"/>
          </w:tcPr>
          <w:p>
            <w:pPr>
              <w:keepNext w:val="0"/>
              <w:keepLines w:val="0"/>
              <w:widowControl/>
              <w:suppressLineNumbers w:val="0"/>
              <w:jc w:val="righ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0.82</w:t>
            </w:r>
          </w:p>
        </w:tc>
        <w:tc>
          <w:tcPr>
            <w:tcW w:w="2783" w:type="dxa"/>
            <w:vAlign w:val="center"/>
          </w:tcPr>
          <w:p>
            <w:pPr>
              <w:keepNext w:val="0"/>
              <w:keepLines w:val="0"/>
              <w:widowControl/>
              <w:suppressLineNumbers w:val="0"/>
              <w:jc w:val="lef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年中追加</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政府网站安全监测服务费</w:t>
            </w:r>
          </w:p>
        </w:tc>
        <w:tc>
          <w:tcPr>
            <w:tcW w:w="2525" w:type="dxa"/>
            <w:vAlign w:val="bottom"/>
          </w:tcPr>
          <w:p>
            <w:pPr>
              <w:keepNext w:val="0"/>
              <w:keepLines w:val="0"/>
              <w:widowControl/>
              <w:suppressLineNumbers w:val="0"/>
              <w:jc w:val="right"/>
              <w:textAlignment w:val="bottom"/>
              <w:rPr>
                <w:rFonts w:hint="default"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2</w:t>
            </w:r>
          </w:p>
        </w:tc>
        <w:tc>
          <w:tcPr>
            <w:tcW w:w="2783" w:type="dxa"/>
            <w:vAlign w:val="center"/>
          </w:tcPr>
          <w:p>
            <w:pPr>
              <w:keepNext w:val="0"/>
              <w:keepLines w:val="0"/>
              <w:widowControl/>
              <w:suppressLineNumbers w:val="0"/>
              <w:jc w:val="lef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年中追加</w:t>
            </w:r>
          </w:p>
        </w:tc>
      </w:tr>
      <w:tr>
        <w:tc>
          <w:tcPr>
            <w:tcW w:w="4606" w:type="dxa"/>
            <w:vAlign w:val="bottom"/>
          </w:tcPr>
          <w:p>
            <w:pPr>
              <w:keepNext w:val="0"/>
              <w:keepLines w:val="0"/>
              <w:widowControl/>
              <w:suppressLineNumbers w:val="0"/>
              <w:jc w:val="left"/>
              <w:textAlignment w:val="bottom"/>
              <w:rPr>
                <w:rFonts w:hint="eastAsia" w:ascii="宋体" w:hAnsi="宋体" w:eastAsia="宋体" w:cs="宋体"/>
                <w:i w:val="0"/>
                <w:color w:val="000000"/>
                <w:kern w:val="0"/>
                <w:sz w:val="20"/>
                <w:szCs w:val="20"/>
                <w:u w:val="none"/>
                <w:lang w:val="en-US" w:eastAsia="zh-CN" w:bidi="ar"/>
              </w:rPr>
            </w:pPr>
            <w:r>
              <w:rPr>
                <w:rFonts w:hint="default" w:ascii="Calibri" w:hAnsi="Calibri" w:eastAsia="宋体" w:cs="Calibri"/>
                <w:i w:val="0"/>
                <w:color w:val="000000"/>
                <w:kern w:val="0"/>
                <w:sz w:val="24"/>
                <w:szCs w:val="24"/>
                <w:u w:val="none"/>
                <w:lang w:val="en-US" w:eastAsia="zh-CN" w:bidi="ar"/>
              </w:rPr>
              <w:t>新任领导干部房屋维修费</w:t>
            </w:r>
          </w:p>
        </w:tc>
        <w:tc>
          <w:tcPr>
            <w:tcW w:w="2525" w:type="dxa"/>
            <w:vAlign w:val="bottom"/>
          </w:tcPr>
          <w:p>
            <w:pPr>
              <w:keepNext w:val="0"/>
              <w:keepLines w:val="0"/>
              <w:widowControl/>
              <w:suppressLineNumbers w:val="0"/>
              <w:jc w:val="righ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2.21</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年中追加</w:t>
            </w:r>
          </w:p>
        </w:tc>
      </w:tr>
      <w:tr>
        <w:tc>
          <w:tcPr>
            <w:tcW w:w="4606" w:type="dxa"/>
            <w:vAlign w:val="bottom"/>
          </w:tcPr>
          <w:p>
            <w:pPr>
              <w:keepNext w:val="0"/>
              <w:keepLines w:val="0"/>
              <w:widowControl/>
              <w:suppressLineNumbers w:val="0"/>
              <w:jc w:val="left"/>
              <w:textAlignment w:val="bottom"/>
              <w:rPr>
                <w:rFonts w:hint="eastAsia" w:ascii="宋体" w:hAnsi="宋体" w:eastAsia="宋体" w:cs="宋体"/>
                <w:i w:val="0"/>
                <w:color w:val="000000"/>
                <w:kern w:val="0"/>
                <w:sz w:val="20"/>
                <w:szCs w:val="20"/>
                <w:u w:val="none"/>
                <w:lang w:val="en-US" w:eastAsia="zh-CN" w:bidi="ar"/>
              </w:rPr>
            </w:pPr>
            <w:r>
              <w:rPr>
                <w:rFonts w:hint="default" w:ascii="Calibri" w:hAnsi="Calibri" w:eastAsia="宋体" w:cs="Calibri"/>
                <w:i w:val="0"/>
                <w:color w:val="000000"/>
                <w:kern w:val="0"/>
                <w:sz w:val="24"/>
                <w:szCs w:val="24"/>
                <w:u w:val="none"/>
                <w:lang w:val="en-US" w:eastAsia="zh-CN" w:bidi="ar"/>
              </w:rPr>
              <w:t>差费和车辆经费</w:t>
            </w:r>
          </w:p>
        </w:tc>
        <w:tc>
          <w:tcPr>
            <w:tcW w:w="2525" w:type="dxa"/>
            <w:vAlign w:val="bottom"/>
          </w:tcPr>
          <w:p>
            <w:pPr>
              <w:keepNext w:val="0"/>
              <w:keepLines w:val="0"/>
              <w:widowControl/>
              <w:suppressLineNumbers w:val="0"/>
              <w:jc w:val="righ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16</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年中追加</w:t>
            </w:r>
          </w:p>
        </w:tc>
      </w:tr>
      <w:tr>
        <w:tc>
          <w:tcPr>
            <w:tcW w:w="4606" w:type="dxa"/>
            <w:vAlign w:val="bottom"/>
          </w:tcPr>
          <w:p>
            <w:pPr>
              <w:keepNext w:val="0"/>
              <w:keepLines w:val="0"/>
              <w:widowControl/>
              <w:suppressLineNumbers w:val="0"/>
              <w:jc w:val="left"/>
              <w:textAlignment w:val="bottom"/>
              <w:rPr>
                <w:rFonts w:hint="eastAsia" w:ascii="宋体" w:hAnsi="宋体" w:eastAsia="宋体" w:cs="宋体"/>
                <w:i w:val="0"/>
                <w:color w:val="000000"/>
                <w:kern w:val="0"/>
                <w:sz w:val="20"/>
                <w:szCs w:val="20"/>
                <w:u w:val="none"/>
                <w:lang w:val="en-US" w:eastAsia="zh-CN" w:bidi="ar"/>
              </w:rPr>
            </w:pPr>
            <w:r>
              <w:rPr>
                <w:rFonts w:hint="default" w:ascii="Calibri" w:hAnsi="Calibri" w:eastAsia="宋体" w:cs="Calibri"/>
                <w:i w:val="0"/>
                <w:color w:val="000000"/>
                <w:kern w:val="0"/>
                <w:sz w:val="24"/>
                <w:szCs w:val="24"/>
                <w:u w:val="none"/>
                <w:lang w:val="en-US" w:eastAsia="zh-CN" w:bidi="ar"/>
              </w:rPr>
              <w:t>政府网站托管服务费</w:t>
            </w:r>
          </w:p>
        </w:tc>
        <w:tc>
          <w:tcPr>
            <w:tcW w:w="2525" w:type="dxa"/>
            <w:vAlign w:val="bottom"/>
          </w:tcPr>
          <w:p>
            <w:pPr>
              <w:keepNext w:val="0"/>
              <w:keepLines w:val="0"/>
              <w:widowControl/>
              <w:suppressLineNumbers w:val="0"/>
              <w:jc w:val="righ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3</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年中追加</w:t>
            </w:r>
          </w:p>
        </w:tc>
      </w:tr>
      <w:tr>
        <w:tc>
          <w:tcPr>
            <w:tcW w:w="4606" w:type="dxa"/>
            <w:vAlign w:val="bottom"/>
          </w:tcPr>
          <w:p>
            <w:pPr>
              <w:keepNext w:val="0"/>
              <w:keepLines w:val="0"/>
              <w:widowControl/>
              <w:suppressLineNumbers w:val="0"/>
              <w:jc w:val="left"/>
              <w:textAlignment w:val="bottom"/>
              <w:rPr>
                <w:rFonts w:hint="eastAsia" w:ascii="宋体" w:hAnsi="宋体" w:eastAsia="宋体" w:cs="宋体"/>
                <w:i w:val="0"/>
                <w:color w:val="000000"/>
                <w:kern w:val="0"/>
                <w:sz w:val="20"/>
                <w:szCs w:val="20"/>
                <w:u w:val="none"/>
                <w:lang w:val="en-US" w:eastAsia="zh-CN" w:bidi="ar"/>
              </w:rPr>
            </w:pPr>
            <w:r>
              <w:rPr>
                <w:rFonts w:hint="default" w:ascii="Calibri" w:hAnsi="Calibri" w:eastAsia="宋体" w:cs="Calibri"/>
                <w:i w:val="0"/>
                <w:color w:val="000000"/>
                <w:kern w:val="0"/>
                <w:sz w:val="24"/>
                <w:szCs w:val="24"/>
                <w:u w:val="none"/>
                <w:lang w:val="en-US" w:eastAsia="zh-CN" w:bidi="ar"/>
              </w:rPr>
              <w:t>政府车辆保险经费</w:t>
            </w:r>
          </w:p>
        </w:tc>
        <w:tc>
          <w:tcPr>
            <w:tcW w:w="2525" w:type="dxa"/>
            <w:vAlign w:val="bottom"/>
          </w:tcPr>
          <w:p>
            <w:pPr>
              <w:keepNext w:val="0"/>
              <w:keepLines w:val="0"/>
              <w:widowControl/>
              <w:suppressLineNumbers w:val="0"/>
              <w:jc w:val="righ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3.64</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年中追加</w:t>
            </w:r>
          </w:p>
        </w:tc>
      </w:tr>
      <w:tr>
        <w:tc>
          <w:tcPr>
            <w:tcW w:w="4606" w:type="dxa"/>
            <w:vAlign w:val="bottom"/>
          </w:tcPr>
          <w:p>
            <w:pPr>
              <w:keepNext w:val="0"/>
              <w:keepLines w:val="0"/>
              <w:widowControl/>
              <w:suppressLineNumbers w:val="0"/>
              <w:jc w:val="left"/>
              <w:textAlignment w:val="bottom"/>
              <w:rPr>
                <w:rFonts w:hint="eastAsia" w:ascii="宋体" w:hAnsi="宋体" w:eastAsia="宋体" w:cs="宋体"/>
                <w:i w:val="0"/>
                <w:color w:val="000000"/>
                <w:kern w:val="0"/>
                <w:sz w:val="20"/>
                <w:szCs w:val="20"/>
                <w:u w:val="none"/>
                <w:lang w:val="en-US" w:eastAsia="zh-CN" w:bidi="ar"/>
              </w:rPr>
            </w:pPr>
            <w:r>
              <w:rPr>
                <w:rFonts w:hint="default" w:ascii="Calibri" w:hAnsi="Calibri" w:eastAsia="宋体" w:cs="Calibri"/>
                <w:i w:val="0"/>
                <w:color w:val="000000"/>
                <w:kern w:val="0"/>
                <w:sz w:val="24"/>
                <w:szCs w:val="24"/>
                <w:u w:val="none"/>
                <w:lang w:val="en-US" w:eastAsia="zh-CN" w:bidi="ar"/>
              </w:rPr>
              <w:t>公务车库电路维修经费</w:t>
            </w:r>
          </w:p>
        </w:tc>
        <w:tc>
          <w:tcPr>
            <w:tcW w:w="2525" w:type="dxa"/>
            <w:vAlign w:val="bottom"/>
          </w:tcPr>
          <w:p>
            <w:pPr>
              <w:keepNext w:val="0"/>
              <w:keepLines w:val="0"/>
              <w:widowControl/>
              <w:suppressLineNumbers w:val="0"/>
              <w:jc w:val="righ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2.68</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年中追加</w:t>
            </w:r>
          </w:p>
        </w:tc>
      </w:tr>
      <w:tr>
        <w:tc>
          <w:tcPr>
            <w:tcW w:w="4606" w:type="dxa"/>
            <w:vAlign w:val="bottom"/>
          </w:tcPr>
          <w:p>
            <w:pPr>
              <w:keepNext w:val="0"/>
              <w:keepLines w:val="0"/>
              <w:widowControl/>
              <w:suppressLineNumbers w:val="0"/>
              <w:jc w:val="left"/>
              <w:textAlignment w:val="bottom"/>
              <w:rPr>
                <w:rFonts w:hint="eastAsia" w:ascii="宋体" w:hAnsi="宋体" w:eastAsia="宋体" w:cs="宋体"/>
                <w:i w:val="0"/>
                <w:color w:val="000000"/>
                <w:kern w:val="0"/>
                <w:sz w:val="20"/>
                <w:szCs w:val="20"/>
                <w:u w:val="none"/>
                <w:lang w:val="en-US" w:eastAsia="zh-CN" w:bidi="ar"/>
              </w:rPr>
            </w:pPr>
            <w:r>
              <w:rPr>
                <w:rFonts w:hint="default" w:ascii="Calibri" w:hAnsi="Calibri" w:eastAsia="宋体" w:cs="Calibri"/>
                <w:i w:val="0"/>
                <w:color w:val="000000"/>
                <w:kern w:val="0"/>
                <w:sz w:val="24"/>
                <w:szCs w:val="24"/>
                <w:u w:val="none"/>
                <w:lang w:val="en-US" w:eastAsia="zh-CN" w:bidi="ar"/>
              </w:rPr>
              <w:t>行政服务和公共资源交易中心相关前期费用【民财预】032号</w:t>
            </w:r>
          </w:p>
        </w:tc>
        <w:tc>
          <w:tcPr>
            <w:tcW w:w="2525" w:type="dxa"/>
            <w:vAlign w:val="bottom"/>
          </w:tcPr>
          <w:p>
            <w:pPr>
              <w:keepNext w:val="0"/>
              <w:keepLines w:val="0"/>
              <w:widowControl/>
              <w:suppressLineNumbers w:val="0"/>
              <w:jc w:val="righ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151.56</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年中追加</w:t>
            </w:r>
          </w:p>
        </w:tc>
      </w:tr>
      <w:tr>
        <w:tc>
          <w:tcPr>
            <w:tcW w:w="4606" w:type="dxa"/>
            <w:vAlign w:val="bottom"/>
          </w:tcPr>
          <w:p>
            <w:pPr>
              <w:keepNext w:val="0"/>
              <w:keepLines w:val="0"/>
              <w:widowControl/>
              <w:suppressLineNumbers w:val="0"/>
              <w:jc w:val="left"/>
              <w:textAlignment w:val="bottom"/>
              <w:rPr>
                <w:rFonts w:hint="eastAsia" w:ascii="宋体" w:hAnsi="宋体" w:eastAsia="宋体" w:cs="宋体"/>
                <w:i w:val="0"/>
                <w:color w:val="000000"/>
                <w:kern w:val="0"/>
                <w:sz w:val="20"/>
                <w:szCs w:val="20"/>
                <w:u w:val="none"/>
                <w:lang w:val="en-US" w:eastAsia="zh-CN" w:bidi="ar"/>
              </w:rPr>
            </w:pPr>
            <w:r>
              <w:rPr>
                <w:rFonts w:hint="default" w:ascii="Calibri" w:hAnsi="Calibri" w:eastAsia="宋体" w:cs="Calibri"/>
                <w:i w:val="0"/>
                <w:color w:val="000000"/>
                <w:kern w:val="0"/>
                <w:sz w:val="24"/>
                <w:szCs w:val="24"/>
                <w:u w:val="none"/>
                <w:lang w:val="en-US" w:eastAsia="zh-CN" w:bidi="ar"/>
              </w:rPr>
              <w:t>全面推进政府采购电子化工作设备采购项目</w:t>
            </w:r>
          </w:p>
        </w:tc>
        <w:tc>
          <w:tcPr>
            <w:tcW w:w="2525" w:type="dxa"/>
            <w:vAlign w:val="bottom"/>
          </w:tcPr>
          <w:p>
            <w:pPr>
              <w:keepNext w:val="0"/>
              <w:keepLines w:val="0"/>
              <w:widowControl/>
              <w:suppressLineNumbers w:val="0"/>
              <w:jc w:val="righ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1.25</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年中追加</w:t>
            </w:r>
          </w:p>
        </w:tc>
      </w:tr>
      <w:tr>
        <w:tc>
          <w:tcPr>
            <w:tcW w:w="4606" w:type="dxa"/>
            <w:vAlign w:val="bottom"/>
          </w:tcPr>
          <w:p>
            <w:pPr>
              <w:keepNext w:val="0"/>
              <w:keepLines w:val="0"/>
              <w:widowControl/>
              <w:suppressLineNumbers w:val="0"/>
              <w:jc w:val="left"/>
              <w:textAlignment w:val="bottom"/>
              <w:rPr>
                <w:rFonts w:hint="eastAsia" w:ascii="宋体" w:hAnsi="宋体" w:eastAsia="宋体" w:cs="宋体"/>
                <w:i w:val="0"/>
                <w:color w:val="000000"/>
                <w:kern w:val="0"/>
                <w:sz w:val="20"/>
                <w:szCs w:val="20"/>
                <w:u w:val="none"/>
                <w:lang w:val="en-US" w:eastAsia="zh-CN" w:bidi="ar"/>
              </w:rPr>
            </w:pPr>
            <w:r>
              <w:rPr>
                <w:rFonts w:hint="default" w:ascii="Calibri" w:hAnsi="Calibri" w:eastAsia="宋体" w:cs="Calibri"/>
                <w:i w:val="0"/>
                <w:color w:val="000000"/>
                <w:kern w:val="0"/>
                <w:sz w:val="24"/>
                <w:szCs w:val="24"/>
                <w:u w:val="none"/>
                <w:lang w:val="en-US" w:eastAsia="zh-CN" w:bidi="ar"/>
              </w:rPr>
              <w:t>法律顾问经费</w:t>
            </w:r>
          </w:p>
        </w:tc>
        <w:tc>
          <w:tcPr>
            <w:tcW w:w="2525" w:type="dxa"/>
            <w:vAlign w:val="bottom"/>
          </w:tcPr>
          <w:p>
            <w:pPr>
              <w:keepNext w:val="0"/>
              <w:keepLines w:val="0"/>
              <w:widowControl/>
              <w:suppressLineNumbers w:val="0"/>
              <w:jc w:val="righ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4</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年中追加</w:t>
            </w:r>
          </w:p>
        </w:tc>
      </w:tr>
    </w:tbl>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部门单位整体支出管理及使用情况：</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bCs/>
          <w:color w:val="auto"/>
          <w:spacing w:val="-4"/>
          <w:highlight w:val="none"/>
        </w:rPr>
      </w:pPr>
      <w:r>
        <w:rPr>
          <w:rStyle w:val="9"/>
          <w:rFonts w:hint="eastAsia" w:ascii="楷体" w:hAnsi="楷体" w:eastAsia="楷体" w:cs="Times New Roman"/>
          <w:b/>
          <w:bCs/>
          <w:color w:val="auto"/>
          <w:spacing w:val="-4"/>
          <w:sz w:val="32"/>
          <w:szCs w:val="32"/>
          <w:highlight w:val="none"/>
        </w:rPr>
        <w:t>（一）资金管理情况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严格按照国家财经法规、预算资金管理办法、财务管理制度以及专项资金管理办法的规定，严控经费支出，并严格按照公示制度要求进行公示，对项目资金，把资金的审批分配、监督检查与绩效评价结合起来，遵循先预算、再审批、后支出的原则，确保了财政资金分配和财政审批程序合法，保证了项目资金的合理使用。对中央及自治区转移支付专项资金，按照专项资金管理办法进行管理和使用，对本级资金安排项目按照单位内部制定的资金管理办法及其他相关管理办法进行管理并严格执行。按照政府信息公开有关规定及时向社会公众公开相关预决算信息，保障预决算管理的公开透明。</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val="0"/>
          <w:bCs w:val="0"/>
          <w:color w:val="auto"/>
          <w:spacing w:val="-4"/>
          <w:sz w:val="32"/>
          <w:szCs w:val="32"/>
          <w:highlight w:val="none"/>
        </w:rPr>
      </w:pPr>
      <w:r>
        <w:rPr>
          <w:rStyle w:val="9"/>
          <w:rFonts w:hint="eastAsia" w:ascii="楷体" w:hAnsi="楷体" w:eastAsia="楷体" w:cs="Times New Roman"/>
          <w:b/>
          <w:bCs/>
          <w:color w:val="auto"/>
          <w:spacing w:val="-4"/>
          <w:sz w:val="32"/>
          <w:szCs w:val="32"/>
          <w:highlight w:val="none"/>
        </w:rPr>
        <w:t>（二）基本支出管理、支出情况、“三公”经费控制情况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1．基本支出管理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基本支出主要用于日常工作运转开支</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包括人员的工资福利支出、一般商品和服务支出、对个人和家庭的补助支出、对企事业单位的补贴及其他资本性支出。人员经费的开支主要是按照市财政统发工资表及文件的相关规定执行</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公用经费按照厉行节约的原则规范资金使用流程</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 xml:space="preserve"> 尤其是“三公经费严格控制在预算指标内。接待费的报销必须附有接待公函、接待清单、接待明细</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车辆运行开支由办公室统一安排调配使用。</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民丰县人民政府办公室</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2053.6</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1624.08</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429.52</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2053.6</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我单位认真贯彻落实中央关于厉行节约的有关规定，严格执行《党政机关厉行节约反对浪费条例》和《机关公务接待管理办法》，全年大幅度压缩了因公出国（境）及公务接待费用支出。</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bCs/>
          <w:color w:val="auto"/>
          <w:spacing w:val="-4"/>
          <w:sz w:val="32"/>
          <w:szCs w:val="32"/>
          <w:highlight w:val="none"/>
        </w:rPr>
      </w:pPr>
      <w:r>
        <w:rPr>
          <w:rStyle w:val="9"/>
          <w:rFonts w:hint="eastAsia" w:ascii="楷体" w:hAnsi="楷体" w:eastAsia="楷体" w:cs="Times New Roman"/>
          <w:b/>
          <w:bCs/>
          <w:color w:val="auto"/>
          <w:spacing w:val="-4"/>
          <w:sz w:val="32"/>
          <w:szCs w:val="32"/>
          <w:highlight w:val="none"/>
        </w:rPr>
        <w:t>（三）专项资金支出预算安排及支出情况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年专项支出预算总额</w:t>
      </w:r>
      <w:r>
        <w:rPr>
          <w:rFonts w:hint="eastAsia" w:ascii="仿宋_GB2312" w:hAnsi="方正楷体简体" w:eastAsia="仿宋_GB2312" w:cs="宋体"/>
          <w:color w:val="auto"/>
          <w:sz w:val="32"/>
          <w:szCs w:val="32"/>
          <w:highlight w:val="none"/>
          <w:lang w:val="en-US" w:eastAsia="zh-CN"/>
        </w:rPr>
        <w:t>17</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10.69</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62.88</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cs="Times New Roman"/>
          <w:bCs/>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年共有</w:t>
      </w:r>
      <w:r>
        <w:rPr>
          <w:rFonts w:hint="eastAsia" w:ascii="仿宋_GB2312" w:hAnsi="方正楷体简体" w:eastAsia="仿宋_GB2312" w:cs="宋体"/>
          <w:color w:val="auto"/>
          <w:sz w:val="32"/>
          <w:szCs w:val="32"/>
          <w:highlight w:val="none"/>
          <w:lang w:val="en-US" w:eastAsia="zh-CN"/>
        </w:rPr>
        <w:t>1个</w:t>
      </w:r>
      <w:r>
        <w:rPr>
          <w:rFonts w:hint="eastAsia" w:ascii="仿宋_GB2312" w:hAnsi="方正楷体简体" w:eastAsia="仿宋_GB2312" w:cs="宋体"/>
          <w:color w:val="auto"/>
          <w:sz w:val="32"/>
          <w:szCs w:val="32"/>
          <w:highlight w:val="none"/>
        </w:rPr>
        <w:t>专项资金项目，其中已完成项目</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个、未完成项目</w:t>
      </w:r>
      <w:r>
        <w:rPr>
          <w:rFonts w:hint="eastAsia" w:ascii="仿宋_GB2312" w:hAnsi="方正楷体简体" w:eastAsia="仿宋_GB2312" w:cs="宋体"/>
          <w:color w:val="auto"/>
          <w:sz w:val="32"/>
          <w:szCs w:val="32"/>
          <w:highlight w:val="none"/>
          <w:lang w:val="en-US" w:eastAsia="zh-CN"/>
        </w:rPr>
        <w:t>1</w:t>
      </w:r>
      <w:r>
        <w:rPr>
          <w:rFonts w:hint="eastAsia" w:ascii="仿宋_GB2312" w:hAnsi="方正楷体简体" w:eastAsia="仿宋_GB2312" w:cs="宋体"/>
          <w:color w:val="auto"/>
          <w:sz w:val="32"/>
          <w:szCs w:val="32"/>
          <w:highlight w:val="none"/>
        </w:rPr>
        <w:t>个。</w:t>
      </w: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年度项目预算及执行情况见下表：</w:t>
      </w:r>
    </w:p>
    <w:tbl>
      <w:tblPr>
        <w:tblStyle w:val="6"/>
        <w:tblW w:w="9997" w:type="dxa"/>
        <w:tblInd w:w="-319" w:type="dxa"/>
        <w:tblLayout w:type="fixed"/>
        <w:tblCellMar>
          <w:top w:w="0" w:type="dxa"/>
          <w:left w:w="108" w:type="dxa"/>
          <w:bottom w:w="0" w:type="dxa"/>
          <w:right w:w="108" w:type="dxa"/>
        </w:tblCellMar>
      </w:tblPr>
      <w:tblGrid>
        <w:gridCol w:w="3213"/>
        <w:gridCol w:w="1664"/>
        <w:gridCol w:w="2073"/>
        <w:gridCol w:w="1527"/>
        <w:gridCol w:w="1520"/>
      </w:tblGrid>
      <w:tr>
        <w:trPr>
          <w:trHeight w:val="283" w:hRule="atLeast"/>
          <w:tblHeader/>
        </w:trPr>
        <w:tc>
          <w:tcPr>
            <w:tcW w:w="3213" w:type="dxa"/>
            <w:tcBorders>
              <w:top w:val="single" w:color="auto" w:sz="8" w:space="0"/>
              <w:left w:val="single" w:color="auto" w:sz="8" w:space="0"/>
              <w:bottom w:val="single" w:color="auto" w:sz="8" w:space="0"/>
              <w:right w:val="single" w:color="auto" w:sz="8" w:space="0"/>
            </w:tcBorders>
            <w:shd w:val="clear" w:color="auto" w:fill="auto"/>
            <w:vAlign w:val="center"/>
          </w:tcPr>
          <w:p>
            <w:pPr>
              <w:spacing w:line="560" w:lineRule="exact"/>
              <w:ind w:firstLine="200"/>
              <w:jc w:val="center"/>
              <w:rPr>
                <w:rFonts w:hint="eastAsia" w:ascii="仿宋_GB2312" w:hAnsi="仿宋" w:eastAsia="仿宋_GB2312" w:cs="宋体"/>
                <w:b/>
                <w:bCs/>
                <w:color w:val="auto"/>
                <w:kern w:val="0"/>
                <w:sz w:val="24"/>
                <w:highlight w:val="none"/>
              </w:rPr>
            </w:pPr>
            <w:r>
              <w:rPr>
                <w:rFonts w:hint="eastAsia" w:ascii="仿宋_GB2312" w:hAnsi="仿宋" w:eastAsia="仿宋_GB2312" w:cs="宋体"/>
                <w:b/>
                <w:bCs/>
                <w:color w:val="auto"/>
                <w:kern w:val="0"/>
                <w:sz w:val="24"/>
                <w:highlight w:val="none"/>
              </w:rPr>
              <w:t>项目名称</w:t>
            </w:r>
          </w:p>
        </w:tc>
        <w:tc>
          <w:tcPr>
            <w:tcW w:w="1664" w:type="dxa"/>
            <w:tcBorders>
              <w:top w:val="single" w:color="auto" w:sz="8" w:space="0"/>
              <w:left w:val="nil"/>
              <w:bottom w:val="single" w:color="auto" w:sz="8" w:space="0"/>
              <w:right w:val="single" w:color="auto" w:sz="8" w:space="0"/>
            </w:tcBorders>
            <w:shd w:val="clear" w:color="auto" w:fill="auto"/>
            <w:vAlign w:val="center"/>
          </w:tcPr>
          <w:p>
            <w:pPr>
              <w:spacing w:line="240" w:lineRule="auto"/>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rPr>
              <w:t>预算金额</w:t>
            </w:r>
            <w:r>
              <w:rPr>
                <w:rFonts w:hint="eastAsia" w:ascii="仿宋_GB2312" w:hAnsi="仿宋" w:eastAsia="仿宋_GB2312" w:cs="宋体"/>
                <w:b/>
                <w:bCs/>
                <w:color w:val="auto"/>
                <w:kern w:val="0"/>
                <w:sz w:val="24"/>
                <w:highlight w:val="none"/>
                <w:lang w:eastAsia="zh-CN"/>
              </w:rPr>
              <w:t>（</w:t>
            </w:r>
            <w:r>
              <w:rPr>
                <w:rFonts w:hint="eastAsia" w:ascii="仿宋_GB2312" w:hAnsi="仿宋" w:eastAsia="仿宋_GB2312" w:cs="宋体"/>
                <w:b/>
                <w:bCs/>
                <w:color w:val="auto"/>
                <w:kern w:val="0"/>
                <w:sz w:val="24"/>
                <w:highlight w:val="none"/>
                <w:lang w:val="en-US" w:eastAsia="zh-CN"/>
              </w:rPr>
              <w:t>万元</w:t>
            </w:r>
            <w:r>
              <w:rPr>
                <w:rFonts w:hint="eastAsia" w:ascii="仿宋_GB2312" w:hAnsi="仿宋" w:eastAsia="仿宋_GB2312" w:cs="宋体"/>
                <w:b/>
                <w:bCs/>
                <w:color w:val="auto"/>
                <w:kern w:val="0"/>
                <w:sz w:val="24"/>
                <w:highlight w:val="none"/>
                <w:lang w:eastAsia="zh-CN"/>
              </w:rPr>
              <w:t>）</w:t>
            </w:r>
          </w:p>
        </w:tc>
        <w:tc>
          <w:tcPr>
            <w:tcW w:w="2073"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lang w:eastAsia="zh-CN"/>
              </w:rPr>
              <w:t>项目属性</w:t>
            </w:r>
          </w:p>
        </w:tc>
        <w:tc>
          <w:tcPr>
            <w:tcW w:w="1527"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rPr>
              <w:t>执行金额</w:t>
            </w:r>
            <w:r>
              <w:rPr>
                <w:rFonts w:hint="eastAsia" w:ascii="仿宋_GB2312" w:hAnsi="仿宋" w:eastAsia="仿宋_GB2312" w:cs="宋体"/>
                <w:b/>
                <w:bCs/>
                <w:color w:val="auto"/>
                <w:kern w:val="0"/>
                <w:sz w:val="24"/>
                <w:highlight w:val="none"/>
                <w:lang w:eastAsia="zh-CN"/>
              </w:rPr>
              <w:t>（</w:t>
            </w:r>
            <w:r>
              <w:rPr>
                <w:rFonts w:hint="eastAsia" w:ascii="仿宋_GB2312" w:hAnsi="仿宋" w:eastAsia="仿宋_GB2312" w:cs="宋体"/>
                <w:b/>
                <w:bCs/>
                <w:color w:val="auto"/>
                <w:kern w:val="0"/>
                <w:sz w:val="24"/>
                <w:highlight w:val="none"/>
                <w:lang w:val="en-US" w:eastAsia="zh-CN"/>
              </w:rPr>
              <w:t>万元</w:t>
            </w:r>
            <w:r>
              <w:rPr>
                <w:rFonts w:hint="eastAsia" w:ascii="仿宋_GB2312" w:hAnsi="仿宋" w:eastAsia="仿宋_GB2312" w:cs="宋体"/>
                <w:b/>
                <w:bCs/>
                <w:color w:val="auto"/>
                <w:kern w:val="0"/>
                <w:sz w:val="24"/>
                <w:highlight w:val="none"/>
                <w:lang w:eastAsia="zh-CN"/>
              </w:rPr>
              <w:t>）</w:t>
            </w:r>
          </w:p>
        </w:tc>
        <w:tc>
          <w:tcPr>
            <w:tcW w:w="1520"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rPr>
            </w:pPr>
            <w:r>
              <w:rPr>
                <w:rFonts w:hint="eastAsia" w:ascii="仿宋_GB2312" w:hAnsi="仿宋" w:eastAsia="仿宋_GB2312" w:cs="宋体"/>
                <w:b/>
                <w:bCs/>
                <w:color w:val="auto"/>
                <w:kern w:val="0"/>
                <w:sz w:val="24"/>
                <w:highlight w:val="none"/>
              </w:rPr>
              <w:t>执行率</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eastAsia" w:ascii="仿宋_GB2312" w:hAnsi="仿宋" w:eastAsia="仿宋_GB2312" w:cs="宋体"/>
                <w:color w:val="auto"/>
                <w:kern w:val="0"/>
                <w:sz w:val="32"/>
                <w:szCs w:val="32"/>
                <w:highlight w:val="none"/>
              </w:rPr>
            </w:pPr>
            <w:r>
              <w:rPr>
                <w:rFonts w:hint="default" w:ascii="Calibri" w:hAnsi="Calibri" w:eastAsia="宋体" w:cs="Calibri"/>
                <w:i w:val="0"/>
                <w:color w:val="000000"/>
                <w:kern w:val="0"/>
                <w:sz w:val="24"/>
                <w:szCs w:val="24"/>
                <w:u w:val="none"/>
                <w:lang w:val="en-US" w:eastAsia="zh-CN" w:bidi="ar"/>
              </w:rPr>
              <w:t>访惠聚”为民办实事经费</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32"/>
                <w:szCs w:val="32"/>
                <w:highlight w:val="none"/>
                <w:lang w:val="en-US"/>
              </w:rPr>
            </w:pPr>
            <w:r>
              <w:rPr>
                <w:rFonts w:hint="default" w:ascii="Calibri" w:hAnsi="Calibri" w:eastAsia="宋体" w:cs="Calibri"/>
                <w:i w:val="0"/>
                <w:color w:val="000000"/>
                <w:kern w:val="0"/>
                <w:sz w:val="24"/>
                <w:szCs w:val="24"/>
                <w:u w:val="none"/>
                <w:lang w:val="en-US" w:eastAsia="zh-CN" w:bidi="ar"/>
              </w:rPr>
              <w:t>17</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kern w:val="0"/>
                <w:sz w:val="24"/>
                <w:szCs w:val="24"/>
                <w:highlight w:val="none"/>
              </w:rPr>
            </w:pPr>
            <w:r>
              <w:rPr>
                <w:rFonts w:hint="eastAsia" w:ascii="仿宋_GB2312" w:hAnsi="仿宋" w:eastAsia="仿宋_GB2312" w:cs="宋体"/>
                <w:color w:val="auto"/>
                <w:sz w:val="22"/>
                <w:szCs w:val="22"/>
                <w:highlight w:val="none"/>
                <w:lang w:val="en-US" w:eastAsia="zh-CN"/>
              </w:rPr>
              <w:t>自治区专项</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32"/>
                <w:szCs w:val="32"/>
                <w:highlight w:val="none"/>
                <w:lang w:val="en-US"/>
              </w:rPr>
            </w:pPr>
            <w:r>
              <w:rPr>
                <w:rFonts w:hint="eastAsia" w:ascii="宋体" w:hAnsi="宋体" w:cs="宋体"/>
                <w:i w:val="0"/>
                <w:color w:val="auto"/>
                <w:kern w:val="0"/>
                <w:sz w:val="22"/>
                <w:szCs w:val="22"/>
                <w:highlight w:val="none"/>
                <w:u w:val="none"/>
                <w:lang w:val="en-US" w:eastAsia="zh-CN" w:bidi="ar"/>
              </w:rPr>
              <w:t>10.69</w:t>
            </w:r>
          </w:p>
        </w:tc>
        <w:tc>
          <w:tcPr>
            <w:tcW w:w="1520"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22"/>
                <w:szCs w:val="22"/>
                <w:highlight w:val="none"/>
                <w:lang w:val="en-US" w:eastAsia="zh-CN"/>
              </w:rPr>
            </w:pPr>
            <w:r>
              <w:rPr>
                <w:rFonts w:hint="eastAsia" w:ascii="Calibri" w:hAnsi="Calibri" w:cs="Calibri"/>
                <w:i w:val="0"/>
                <w:color w:val="000000"/>
                <w:kern w:val="0"/>
                <w:sz w:val="24"/>
                <w:szCs w:val="24"/>
                <w:u w:val="none"/>
                <w:lang w:val="en-US" w:eastAsia="zh-CN" w:bidi="ar"/>
              </w:rPr>
              <w:t>62.88%</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spacing w:line="560" w:lineRule="exact"/>
              <w:ind w:firstLine="200"/>
              <w:rPr>
                <w:rFonts w:hint="eastAsia" w:ascii="仿宋_GB2312" w:hAnsi="仿宋" w:eastAsia="仿宋_GB2312" w:cs="宋体"/>
                <w:b/>
                <w:bCs/>
                <w:color w:val="auto"/>
                <w:kern w:val="0"/>
                <w:sz w:val="32"/>
                <w:szCs w:val="32"/>
                <w:highlight w:val="none"/>
              </w:rPr>
            </w:pPr>
            <w:r>
              <w:rPr>
                <w:rFonts w:hint="eastAsia" w:ascii="宋体" w:hAnsi="宋体" w:eastAsia="宋体" w:cs="宋体"/>
                <w:i w:val="0"/>
                <w:color w:val="auto"/>
                <w:kern w:val="0"/>
                <w:sz w:val="22"/>
                <w:szCs w:val="22"/>
                <w:highlight w:val="none"/>
                <w:u w:val="none"/>
                <w:lang w:val="en-US" w:eastAsia="zh-CN" w:bidi="ar"/>
              </w:rPr>
              <w:t>合计</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宋体" w:hAnsi="宋体" w:cs="宋体"/>
                <w:i w:val="0"/>
                <w:color w:val="auto"/>
                <w:kern w:val="0"/>
                <w:sz w:val="22"/>
                <w:szCs w:val="22"/>
                <w:highlight w:val="none"/>
                <w:u w:val="none"/>
                <w:lang w:val="en-US" w:eastAsia="zh-CN" w:bidi="ar"/>
              </w:rPr>
              <w:t>17</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auto"/>
                <w:kern w:val="0"/>
                <w:sz w:val="22"/>
                <w:szCs w:val="22"/>
                <w:highlight w:val="none"/>
                <w:u w:val="none"/>
                <w:lang w:val="en-US" w:eastAsia="zh-CN" w:bidi="ar"/>
              </w:rPr>
            </w:pP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宋体" w:hAnsi="宋体" w:cs="宋体"/>
                <w:i w:val="0"/>
                <w:color w:val="auto"/>
                <w:kern w:val="0"/>
                <w:sz w:val="22"/>
                <w:szCs w:val="22"/>
                <w:highlight w:val="none"/>
                <w:u w:val="none"/>
                <w:lang w:val="en-US" w:eastAsia="zh-CN" w:bidi="ar"/>
              </w:rPr>
              <w:t>10.69</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default" w:ascii="仿宋_GB2312" w:hAnsi="仿宋" w:eastAsia="仿宋_GB2312" w:cs="宋体"/>
                <w:color w:val="auto"/>
                <w:kern w:val="0"/>
                <w:sz w:val="32"/>
                <w:szCs w:val="32"/>
                <w:highlight w:val="none"/>
                <w:lang w:val="en-US" w:eastAsia="zh-CN"/>
              </w:rPr>
            </w:pPr>
            <w:r>
              <w:rPr>
                <w:rFonts w:hint="eastAsia" w:ascii="宋体" w:hAnsi="宋体" w:cs="宋体"/>
                <w:i w:val="0"/>
                <w:color w:val="000000"/>
                <w:kern w:val="0"/>
                <w:sz w:val="22"/>
                <w:szCs w:val="22"/>
                <w:u w:val="none"/>
                <w:lang w:val="en-US" w:eastAsia="zh-CN" w:bidi="ar"/>
              </w:rPr>
              <w:t>62.88</w:t>
            </w:r>
            <w:r>
              <w:rPr>
                <w:rFonts w:hint="eastAsia" w:ascii="宋体" w:hAnsi="宋体" w:eastAsia="宋体" w:cs="宋体"/>
                <w:i w:val="0"/>
                <w:color w:val="000000"/>
                <w:kern w:val="0"/>
                <w:sz w:val="22"/>
                <w:szCs w:val="22"/>
                <w:u w:val="none"/>
                <w:lang w:val="en-US" w:eastAsia="zh-CN" w:bidi="ar"/>
              </w:rPr>
              <w:t>%</w:t>
            </w:r>
          </w:p>
        </w:tc>
      </w:tr>
    </w:tbl>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lang w:val="en-US" w:eastAsia="zh-CN"/>
        </w:rPr>
        <w:t>1</w:t>
      </w:r>
      <w:r>
        <w:rPr>
          <w:rFonts w:hint="eastAsia" w:ascii="仿宋_GB2312" w:hAnsi="方正楷体简体" w:eastAsia="仿宋_GB2312" w:cs="宋体"/>
          <w:color w:val="auto"/>
          <w:sz w:val="32"/>
          <w:szCs w:val="32"/>
          <w:highlight w:val="none"/>
          <w:lang w:eastAsia="zh-CN"/>
        </w:rPr>
        <w:t>）</w:t>
      </w:r>
      <w:r>
        <w:rPr>
          <w:rFonts w:hint="default" w:ascii="仿宋_GB2312" w:hAnsi="方正楷体简体" w:eastAsia="仿宋_GB2312" w:cs="宋体"/>
          <w:color w:val="auto"/>
          <w:sz w:val="32"/>
          <w:szCs w:val="32"/>
          <w:highlight w:val="none"/>
          <w:lang w:val="en-US" w:eastAsia="zh-CN"/>
        </w:rPr>
        <w:t>访惠聚为民办实事经费</w:t>
      </w:r>
      <w:r>
        <w:rPr>
          <w:rFonts w:hint="eastAsia" w:ascii="仿宋_GB2312" w:hAnsi="方正楷体简体" w:eastAsia="仿宋_GB2312" w:cs="宋体"/>
          <w:color w:val="auto"/>
          <w:sz w:val="32"/>
          <w:szCs w:val="32"/>
          <w:highlight w:val="none"/>
          <w:lang w:val="en-US" w:eastAsia="zh-CN"/>
        </w:rPr>
        <w:t>：</w:t>
      </w:r>
      <w:r>
        <w:rPr>
          <w:rFonts w:hint="eastAsia" w:ascii="仿宋_GB2312" w:hAnsi="方正楷体简体" w:eastAsia="仿宋_GB2312" w:cs="宋体"/>
          <w:color w:val="auto"/>
          <w:sz w:val="32"/>
          <w:szCs w:val="32"/>
          <w:highlight w:val="none"/>
        </w:rPr>
        <w:t>项目为续建项目，按照实际完工情况拨付项目资金。及时跟进项目实施进度，保障项目顺利完成</w:t>
      </w:r>
      <w:r>
        <w:rPr>
          <w:rFonts w:hint="eastAsia" w:ascii="仿宋_GB2312" w:hAnsi="方正楷体简体" w:eastAsia="仿宋_GB2312" w:cs="宋体"/>
          <w:color w:val="auto"/>
          <w:sz w:val="32"/>
          <w:szCs w:val="32"/>
          <w:highlight w:val="none"/>
          <w:lang w:eastAsia="zh-CN"/>
        </w:rPr>
        <w:t>。</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部门单位整体支出绩效分析</w:t>
      </w:r>
    </w:p>
    <w:p>
      <w:pPr>
        <w:spacing w:line="540" w:lineRule="exact"/>
        <w:ind w:firstLine="579" w:firstLineChars="181"/>
        <w:rPr>
          <w:rStyle w:val="9"/>
          <w:rFonts w:hint="eastAsia" w:ascii="楷体" w:hAnsi="楷体" w:eastAsia="楷体" w:cs="楷体"/>
          <w:b/>
          <w:bCs w:val="0"/>
          <w:color w:val="auto"/>
          <w:spacing w:val="-4"/>
          <w:sz w:val="32"/>
          <w:szCs w:val="32"/>
          <w:highlight w:val="none"/>
          <w:lang w:val="en-US" w:eastAsia="zh-CN"/>
        </w:rPr>
      </w:pPr>
      <w:r>
        <w:rPr>
          <w:rFonts w:hint="eastAsia" w:ascii="黑体" w:hAnsi="黑体" w:eastAsia="黑体" w:cs="宋体"/>
          <w:bCs/>
          <w:color w:val="auto"/>
          <w:sz w:val="32"/>
          <w:szCs w:val="32"/>
          <w:highlight w:val="none"/>
          <w:lang w:bidi="ar"/>
        </w:rPr>
        <w:t xml:space="preserve"> </w:t>
      </w:r>
      <w:r>
        <w:rPr>
          <w:rStyle w:val="9"/>
          <w:rFonts w:hint="eastAsia" w:ascii="楷体" w:hAnsi="楷体" w:eastAsia="楷体" w:cs="楷体"/>
          <w:b/>
          <w:bCs w:val="0"/>
          <w:color w:val="auto"/>
          <w:spacing w:val="-4"/>
          <w:sz w:val="32"/>
          <w:szCs w:val="32"/>
          <w:highlight w:val="none"/>
          <w:lang w:val="en-US" w:eastAsia="zh-CN"/>
        </w:rPr>
        <w:t>（一）指标一：保障民丰县人民政府正常运转</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lang w:val="en-US" w:eastAsia="zh-CN"/>
        </w:rPr>
        <w:t>保障民丰县人民政府正常运转</w:t>
      </w:r>
      <w:r>
        <w:rPr>
          <w:rFonts w:hint="eastAsia" w:ascii="仿宋_GB2312" w:hAnsi="仿宋" w:eastAsia="仿宋_GB2312"/>
          <w:color w:val="auto"/>
          <w:sz w:val="32"/>
          <w:szCs w:val="32"/>
          <w:highlight w:val="none"/>
        </w:rPr>
        <w:t>，预期指标是</w:t>
      </w:r>
      <w:r>
        <w:rPr>
          <w:rFonts w:hint="eastAsia" w:ascii="仿宋_GB2312" w:hAnsi="仿宋" w:eastAsia="仿宋_GB2312"/>
          <w:color w:val="auto"/>
          <w:sz w:val="32"/>
          <w:szCs w:val="32"/>
          <w:highlight w:val="none"/>
          <w:lang w:val="en-US" w:eastAsia="zh-CN"/>
        </w:rPr>
        <w:t>100%</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100%</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本次评价实际完成值是100%，</w:t>
      </w:r>
      <w:r>
        <w:rPr>
          <w:rFonts w:hint="eastAsia" w:ascii="仿宋_GB2312" w:hAnsi="仿宋" w:eastAsia="仿宋_GB2312"/>
          <w:color w:val="auto"/>
          <w:sz w:val="32"/>
          <w:szCs w:val="32"/>
          <w:highlight w:val="none"/>
        </w:rPr>
        <w:t>达到预期目标。</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（二）指标二：信访督查次数</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信访督查次数，预期指标是</w:t>
      </w:r>
      <w:r>
        <w:rPr>
          <w:rFonts w:hint="eastAsia" w:ascii="仿宋_GB2312" w:hAnsi="仿宋" w:eastAsia="仿宋_GB2312"/>
          <w:color w:val="auto"/>
          <w:sz w:val="32"/>
          <w:szCs w:val="32"/>
          <w:highlight w:val="none"/>
          <w:lang w:val="en-US" w:eastAsia="zh-CN"/>
        </w:rPr>
        <w:t>大于等于2次</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1次</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本次评价实际完成值是2次，</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（三）指标三：“12345”政务服务热线受理率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“12345”政务服务热线受理率，预期指标是</w:t>
      </w:r>
      <w:r>
        <w:rPr>
          <w:rFonts w:hint="eastAsia" w:ascii="仿宋_GB2312" w:hAnsi="仿宋" w:eastAsia="仿宋_GB2312"/>
          <w:color w:val="auto"/>
          <w:sz w:val="32"/>
          <w:szCs w:val="32"/>
          <w:highlight w:val="none"/>
          <w:lang w:val="en-US" w:eastAsia="zh-CN"/>
        </w:rPr>
        <w:t>大于等于95%</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195%</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w:t>
      </w:r>
      <w:r>
        <w:rPr>
          <w:rFonts w:hint="eastAsia" w:ascii="仿宋_GB2312" w:hAnsi="仿宋" w:eastAsia="仿宋_GB2312"/>
          <w:color w:val="auto"/>
          <w:sz w:val="32"/>
          <w:szCs w:val="32"/>
          <w:highlight w:val="none"/>
          <w:lang w:val="en-US" w:eastAsia="zh-CN"/>
        </w:rPr>
        <w:t>95%</w:t>
      </w:r>
      <w:r>
        <w:rPr>
          <w:rStyle w:val="9"/>
          <w:rFonts w:hint="eastAsia" w:ascii="仿宋_GB2312" w:hAnsi="楷体" w:eastAsia="仿宋_GB2312" w:cs="Times New Roman"/>
          <w:b w:val="0"/>
          <w:color w:val="auto"/>
          <w:spacing w:val="-4"/>
          <w:sz w:val="32"/>
          <w:szCs w:val="32"/>
          <w:highlight w:val="none"/>
          <w:lang w:val="en-US" w:eastAsia="zh-CN"/>
        </w:rPr>
        <w:t>，</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（四）指标四：完成政府工作报告</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完成政府工作报告，预期指标是</w:t>
      </w:r>
      <w:r>
        <w:rPr>
          <w:rFonts w:hint="eastAsia" w:ascii="仿宋_GB2312" w:hAnsi="仿宋" w:eastAsia="仿宋_GB2312"/>
          <w:color w:val="auto"/>
          <w:sz w:val="32"/>
          <w:szCs w:val="32"/>
          <w:highlight w:val="none"/>
          <w:lang w:val="en-US" w:eastAsia="zh-CN"/>
        </w:rPr>
        <w:t>2次</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1次</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本次评价实际完成值是2次，</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（五）指标五：法治政府建设保障率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法治政府建设保障率，预期指标是</w:t>
      </w:r>
      <w:r>
        <w:rPr>
          <w:rFonts w:hint="eastAsia" w:ascii="仿宋_GB2312" w:hAnsi="仿宋" w:eastAsia="仿宋_GB2312"/>
          <w:color w:val="auto"/>
          <w:sz w:val="32"/>
          <w:szCs w:val="32"/>
          <w:highlight w:val="none"/>
          <w:lang w:val="en-US" w:eastAsia="zh-CN"/>
        </w:rPr>
        <w:t>大于等于95%</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95%</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本次评价实际完成值是95%，</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（六）指标六：制发文件（重点精简类）</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制发文件（重点精简类），预期指标是</w:t>
      </w:r>
      <w:r>
        <w:rPr>
          <w:rFonts w:hint="eastAsia" w:ascii="仿宋_GB2312" w:hAnsi="仿宋" w:eastAsia="仿宋_GB2312"/>
          <w:color w:val="auto"/>
          <w:sz w:val="32"/>
          <w:szCs w:val="32"/>
          <w:highlight w:val="none"/>
          <w:lang w:val="en-US" w:eastAsia="zh-CN"/>
        </w:rPr>
        <w:t>大于等于80件</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40件</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本次评价实际完成值是80件，</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（七）指标七：全县筹备组织政府各类会议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lang w:val="en-US" w:eastAsia="zh-CN"/>
        </w:rPr>
      </w:pPr>
      <w:r>
        <w:rPr>
          <w:rFonts w:hint="eastAsia" w:ascii="仿宋_GB2312" w:hAnsi="仿宋" w:eastAsia="仿宋_GB2312"/>
          <w:color w:val="auto"/>
          <w:sz w:val="32"/>
          <w:szCs w:val="32"/>
          <w:highlight w:val="none"/>
        </w:rPr>
        <w:t>全县筹备组织政府各类会议，预期指标是</w:t>
      </w:r>
      <w:r>
        <w:rPr>
          <w:rFonts w:hint="eastAsia" w:ascii="仿宋_GB2312" w:hAnsi="仿宋" w:eastAsia="仿宋_GB2312"/>
          <w:color w:val="auto"/>
          <w:sz w:val="32"/>
          <w:szCs w:val="32"/>
          <w:highlight w:val="none"/>
          <w:lang w:val="en-US" w:eastAsia="zh-CN"/>
        </w:rPr>
        <w:t>大于等于300次</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150次</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本次评价实际完成值是300次，</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评价结论：</w:t>
      </w:r>
    </w:p>
    <w:p>
      <w:pPr>
        <w:spacing w:line="540" w:lineRule="exact"/>
        <w:ind w:firstLine="564" w:firstLineChars="181"/>
        <w:rPr>
          <w:rFonts w:ascii="仿宋_GB2312" w:hAnsi="宋体" w:eastAsia="仿宋_GB2312"/>
          <w:bCs/>
          <w:color w:val="auto"/>
          <w:sz w:val="32"/>
          <w:szCs w:val="32"/>
          <w:highlight w:val="none"/>
        </w:rPr>
      </w:pPr>
      <w:r>
        <w:rPr>
          <w:rStyle w:val="9"/>
          <w:rFonts w:hint="eastAsia" w:ascii="仿宋_GB2312" w:hAnsi="楷体" w:eastAsia="仿宋_GB2312" w:cs="Times New Roman"/>
          <w:b w:val="0"/>
          <w:color w:val="auto"/>
          <w:spacing w:val="-4"/>
          <w:sz w:val="32"/>
          <w:szCs w:val="32"/>
          <w:highlight w:val="none"/>
          <w:lang w:val="en-US" w:eastAsia="zh-CN"/>
        </w:rPr>
        <w:t>2023年度部门整体支出绩效自评综合得分99.66分，评价结果为“优”。</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存在的主要问题及原因分析：</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一</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预算执行存在偏差</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对个别项目资金使用方面预算不够细致，出现实际支出数</w:t>
      </w:r>
      <w:r>
        <w:rPr>
          <w:rFonts w:hint="eastAsia" w:ascii="仿宋_GB2312" w:hAnsi="仿宋" w:eastAsia="仿宋_GB2312" w:cs="仿宋"/>
          <w:color w:val="auto"/>
          <w:spacing w:val="-4"/>
          <w:sz w:val="32"/>
          <w:szCs w:val="32"/>
          <w:highlight w:val="none"/>
          <w:lang w:val="en-US" w:eastAsia="zh-CN"/>
        </w:rPr>
        <w:t>少于</w:t>
      </w:r>
      <w:r>
        <w:rPr>
          <w:rFonts w:ascii="仿宋_GB2312" w:hAnsi="仿宋" w:eastAsia="仿宋_GB2312" w:cs="仿宋"/>
          <w:color w:val="auto"/>
          <w:spacing w:val="-4"/>
          <w:sz w:val="32"/>
          <w:szCs w:val="32"/>
          <w:highlight w:val="none"/>
        </w:rPr>
        <w:t>预算申报数。</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rPr>
        <w:t>（二）</w:t>
      </w:r>
      <w:r>
        <w:rPr>
          <w:rFonts w:ascii="楷体" w:hAnsi="楷体" w:eastAsia="楷体" w:cs="仿宋"/>
          <w:b/>
          <w:bCs/>
          <w:color w:val="auto"/>
          <w:spacing w:val="-4"/>
          <w:sz w:val="32"/>
          <w:szCs w:val="32"/>
          <w:highlight w:val="none"/>
        </w:rPr>
        <w:t>目标设定科学性及评价存在难度</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对于目标设定需要分科室</w:t>
      </w:r>
      <w:r>
        <w:rPr>
          <w:rFonts w:hint="eastAsia" w:ascii="仿宋_GB2312" w:hAnsi="仿宋" w:eastAsia="仿宋_GB2312" w:cs="仿宋"/>
          <w:color w:val="auto"/>
          <w:spacing w:val="-4"/>
          <w:sz w:val="32"/>
          <w:szCs w:val="32"/>
          <w:highlight w:val="none"/>
          <w:lang w:eastAsia="zh-CN"/>
        </w:rPr>
        <w:t>单位</w:t>
      </w:r>
      <w:r>
        <w:rPr>
          <w:rFonts w:ascii="仿宋_GB2312" w:hAnsi="仿宋" w:eastAsia="仿宋_GB2312" w:cs="仿宋"/>
          <w:color w:val="auto"/>
          <w:spacing w:val="-4"/>
          <w:sz w:val="32"/>
          <w:szCs w:val="32"/>
          <w:highlight w:val="none"/>
        </w:rPr>
        <w:t>分解</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汇总后制定整体目标，如何科学整合全单位绩效目标比较困难；目标设定后如何科学设定考核评价标准，特别是对于不能量化的目标如何评价。</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（三）财务管理方面，会计核算还不够细致</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对于有些能够细分的工作</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未能详细分类核算</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绩效评价基础数据不够精准。</w:t>
      </w:r>
    </w:p>
    <w:p>
      <w:pPr>
        <w:pStyle w:val="12"/>
        <w:numPr>
          <w:ilvl w:val="0"/>
          <w:numId w:val="0"/>
        </w:numPr>
        <w:snapToGrid w:val="0"/>
        <w:spacing w:line="540" w:lineRule="exact"/>
        <w:ind w:left="640" w:leftChars="0"/>
        <w:rPr>
          <w:rStyle w:val="9"/>
          <w:rFonts w:hint="default" w:ascii="黑体" w:hAnsi="黑体" w:eastAsia="黑体"/>
          <w:b w:val="0"/>
          <w:bCs w:val="0"/>
          <w:color w:val="auto"/>
          <w:spacing w:val="-4"/>
          <w:sz w:val="32"/>
          <w:szCs w:val="32"/>
          <w:highlight w:val="none"/>
        </w:rPr>
      </w:pPr>
    </w:p>
    <w:p>
      <w:pPr>
        <w:pStyle w:val="12"/>
        <w:numPr>
          <w:ilvl w:val="0"/>
          <w:numId w:val="0"/>
        </w:numPr>
        <w:snapToGrid w:val="0"/>
        <w:spacing w:line="540" w:lineRule="exact"/>
        <w:ind w:left="640" w:leftChars="0"/>
        <w:rPr>
          <w:rStyle w:val="9"/>
          <w:rFonts w:ascii="黑体" w:hAnsi="黑体" w:eastAsia="黑体"/>
          <w:b w:val="0"/>
          <w:bCs w:val="0"/>
          <w:color w:val="auto"/>
          <w:spacing w:val="-4"/>
          <w:sz w:val="32"/>
          <w:szCs w:val="32"/>
          <w:highlight w:val="none"/>
        </w:rPr>
      </w:pPr>
      <w:r>
        <w:rPr>
          <w:rStyle w:val="9"/>
          <w:rFonts w:hint="default" w:ascii="黑体" w:hAnsi="黑体" w:eastAsia="黑体"/>
          <w:b w:val="0"/>
          <w:bCs w:val="0"/>
          <w:color w:val="auto"/>
          <w:spacing w:val="-4"/>
          <w:sz w:val="32"/>
          <w:szCs w:val="32"/>
          <w:highlight w:val="none"/>
        </w:rPr>
        <w:t>六、</w:t>
      </w:r>
      <w:r>
        <w:rPr>
          <w:rStyle w:val="9"/>
          <w:rFonts w:hint="eastAsia" w:ascii="黑体" w:hAnsi="黑体" w:eastAsia="黑体"/>
          <w:b w:val="0"/>
          <w:bCs w:val="0"/>
          <w:color w:val="auto"/>
          <w:spacing w:val="-4"/>
          <w:sz w:val="32"/>
          <w:szCs w:val="32"/>
          <w:highlight w:val="none"/>
        </w:rPr>
        <w:t>改进措施和建议</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hint="eastAsia" w:ascii="仿宋_GB2312" w:hAnsi="仿宋" w:eastAsia="仿宋_GB2312" w:cs="仿宋"/>
          <w:color w:val="auto"/>
          <w:spacing w:val="-4"/>
          <w:kern w:val="2"/>
          <w:sz w:val="32"/>
          <w:szCs w:val="32"/>
          <w:highlight w:val="none"/>
          <w:lang w:val="en-US" w:eastAsia="zh-CN" w:bidi="ar-SA"/>
        </w:rPr>
        <w:t>（一）</w:t>
      </w:r>
      <w:r>
        <w:rPr>
          <w:rFonts w:ascii="仿宋_GB2312" w:hAnsi="仿宋" w:eastAsia="仿宋_GB2312" w:cs="仿宋"/>
          <w:color w:val="auto"/>
          <w:spacing w:val="-4"/>
          <w:kern w:val="2"/>
          <w:sz w:val="32"/>
          <w:szCs w:val="32"/>
          <w:highlight w:val="none"/>
          <w:lang w:val="en-US" w:eastAsia="zh-CN" w:bidi="ar-SA"/>
        </w:rPr>
        <w:t>加强新行政单位会计制度和新预算法学习培训</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规范账务处理</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加强新《预算法</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行政单位会计制度》 、《会计法》 、《行政单位财务规则》等学习培训</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规范</w:t>
      </w:r>
      <w:r>
        <w:rPr>
          <w:rFonts w:hint="eastAsia" w:ascii="仿宋_GB2312" w:hAnsi="仿宋" w:eastAsia="仿宋_GB2312" w:cs="仿宋"/>
          <w:color w:val="auto"/>
          <w:spacing w:val="-4"/>
          <w:kern w:val="2"/>
          <w:sz w:val="32"/>
          <w:szCs w:val="32"/>
          <w:highlight w:val="none"/>
          <w:lang w:val="en-US" w:eastAsia="zh-CN" w:bidi="ar-SA"/>
        </w:rPr>
        <w:t>单位</w:t>
      </w:r>
      <w:r>
        <w:rPr>
          <w:rFonts w:ascii="仿宋_GB2312" w:hAnsi="仿宋" w:eastAsia="仿宋_GB2312" w:cs="仿宋"/>
          <w:color w:val="auto"/>
          <w:spacing w:val="-4"/>
          <w:kern w:val="2"/>
          <w:sz w:val="32"/>
          <w:szCs w:val="32"/>
          <w:highlight w:val="none"/>
          <w:lang w:val="en-US" w:eastAsia="zh-CN" w:bidi="ar-SA"/>
        </w:rPr>
        <w:t>预算收支核算</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制定和完善基本支出、项目支出等各项支出标准</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严格按项目和进度执行预算</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 xml:space="preserve"> 增强预算的约束力和严肃性</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落实预算执行分析</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及时了解预算执行差异</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合理调整、纠正预算执行偏差，切实提高</w:t>
      </w:r>
      <w:r>
        <w:rPr>
          <w:rFonts w:hint="eastAsia" w:ascii="仿宋_GB2312" w:hAnsi="仿宋" w:eastAsia="仿宋_GB2312" w:cs="仿宋"/>
          <w:color w:val="auto"/>
          <w:spacing w:val="-4"/>
          <w:kern w:val="2"/>
          <w:sz w:val="32"/>
          <w:szCs w:val="32"/>
          <w:highlight w:val="none"/>
          <w:lang w:val="en-US" w:eastAsia="zh-CN" w:bidi="ar-SA"/>
        </w:rPr>
        <w:t>单位</w:t>
      </w:r>
      <w:r>
        <w:rPr>
          <w:rFonts w:ascii="仿宋_GB2312" w:hAnsi="仿宋" w:eastAsia="仿宋_GB2312" w:cs="仿宋"/>
          <w:color w:val="auto"/>
          <w:spacing w:val="-4"/>
          <w:kern w:val="2"/>
          <w:sz w:val="32"/>
          <w:szCs w:val="32"/>
          <w:highlight w:val="none"/>
          <w:lang w:val="en-US" w:eastAsia="zh-CN" w:bidi="ar-SA"/>
        </w:rPr>
        <w:t>预算收支管理水平。尽可能地做到决算与预算相衔接。</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rPr>
        <w:t>（二）</w:t>
      </w:r>
      <w:r>
        <w:rPr>
          <w:rFonts w:ascii="楷体" w:hAnsi="楷体" w:eastAsia="楷体" w:cs="仿宋"/>
          <w:b/>
          <w:bCs/>
          <w:color w:val="auto"/>
          <w:spacing w:val="-4"/>
          <w:sz w:val="32"/>
          <w:szCs w:val="32"/>
          <w:highlight w:val="none"/>
        </w:rPr>
        <w:t>完善管理制度</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进</w:t>
      </w:r>
      <w:r>
        <w:rPr>
          <w:rFonts w:hint="eastAsia" w:ascii="楷体" w:hAnsi="楷体" w:eastAsia="楷体" w:cs="仿宋"/>
          <w:b/>
          <w:bCs/>
          <w:color w:val="auto"/>
          <w:spacing w:val="-4"/>
          <w:sz w:val="32"/>
          <w:szCs w:val="32"/>
          <w:highlight w:val="none"/>
          <w:lang w:val="en-US" w:eastAsia="zh-CN"/>
        </w:rPr>
        <w:t>一步</w:t>
      </w:r>
      <w:r>
        <w:rPr>
          <w:rFonts w:ascii="楷体" w:hAnsi="楷体" w:eastAsia="楷体" w:cs="仿宋"/>
          <w:b/>
          <w:bCs/>
          <w:color w:val="auto"/>
          <w:spacing w:val="-4"/>
          <w:sz w:val="32"/>
          <w:szCs w:val="32"/>
          <w:highlight w:val="none"/>
        </w:rPr>
        <w:t>加强资产管理</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严格按照《固定资产管理办法》的规定加强固定资产管理</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及时登记、更新台账，加强资产卡片管理</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对各类实物资产进行全面盘点</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确保</w:t>
      </w:r>
      <w:r>
        <w:rPr>
          <w:rFonts w:hint="eastAsia" w:ascii="仿宋_GB2312" w:hAnsi="仿宋" w:eastAsia="仿宋_GB2312" w:cs="仿宋"/>
          <w:color w:val="auto"/>
          <w:spacing w:val="-4"/>
          <w:sz w:val="32"/>
          <w:szCs w:val="32"/>
          <w:highlight w:val="none"/>
          <w:lang w:eastAsia="zh-CN"/>
        </w:rPr>
        <w:t>账</w:t>
      </w:r>
      <w:r>
        <w:rPr>
          <w:rFonts w:ascii="仿宋_GB2312" w:hAnsi="仿宋" w:eastAsia="仿宋_GB2312" w:cs="仿宋"/>
          <w:color w:val="auto"/>
          <w:spacing w:val="-4"/>
          <w:sz w:val="32"/>
          <w:szCs w:val="32"/>
          <w:highlight w:val="none"/>
        </w:rPr>
        <w:t>、账实相符。</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ascii="仿宋_GB2312" w:hAnsi="仿宋" w:eastAsia="仿宋_GB2312" w:cs="仿宋"/>
          <w:color w:val="auto"/>
          <w:spacing w:val="-4"/>
          <w:kern w:val="2"/>
          <w:sz w:val="32"/>
          <w:szCs w:val="32"/>
          <w:highlight w:val="none"/>
          <w:lang w:val="en-US" w:eastAsia="zh-CN" w:bidi="ar-SA"/>
        </w:rPr>
        <w:t>（三）加强学习如何科学合理制定绩效目标及考核体系，充分发挥绩效工作效用</w:t>
      </w:r>
      <w:r>
        <w:rPr>
          <w:rFonts w:hint="eastAsia" w:ascii="仿宋_GB2312" w:hAnsi="仿宋" w:eastAsia="仿宋_GB2312" w:cs="仿宋"/>
          <w:color w:val="auto"/>
          <w:spacing w:val="-4"/>
          <w:kern w:val="2"/>
          <w:sz w:val="32"/>
          <w:szCs w:val="32"/>
          <w:highlight w:val="none"/>
          <w:lang w:val="en-US" w:eastAsia="zh-CN" w:bidi="ar-SA"/>
        </w:rPr>
        <w:t>。</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ascii="仿宋_GB2312" w:hAnsi="仿宋" w:eastAsia="仿宋_GB2312" w:cs="仿宋"/>
          <w:color w:val="auto"/>
          <w:spacing w:val="-4"/>
          <w:kern w:val="2"/>
          <w:sz w:val="32"/>
          <w:szCs w:val="32"/>
          <w:highlight w:val="none"/>
          <w:lang w:val="en-US" w:eastAsia="zh-CN" w:bidi="ar-SA"/>
        </w:rPr>
        <w:t>（四）财务上，会计核算要更加详细，为本单位各项工作的开展、总结、评估提供有效数据资料支撑</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为各项业务工作更好</w:t>
      </w:r>
      <w:r>
        <w:rPr>
          <w:rFonts w:hint="eastAsia" w:ascii="仿宋_GB2312" w:hAnsi="仿宋" w:eastAsia="仿宋_GB2312" w:cs="仿宋"/>
          <w:color w:val="auto"/>
          <w:spacing w:val="-4"/>
          <w:kern w:val="2"/>
          <w:sz w:val="32"/>
          <w:szCs w:val="32"/>
          <w:highlight w:val="none"/>
          <w:lang w:val="en-US" w:eastAsia="zh-CN" w:bidi="ar-SA"/>
        </w:rPr>
        <w:t>地</w:t>
      </w:r>
      <w:r>
        <w:rPr>
          <w:rFonts w:ascii="仿宋_GB2312" w:hAnsi="仿宋" w:eastAsia="仿宋_GB2312" w:cs="仿宋"/>
          <w:color w:val="auto"/>
          <w:spacing w:val="-4"/>
          <w:kern w:val="2"/>
          <w:sz w:val="32"/>
          <w:szCs w:val="32"/>
          <w:highlight w:val="none"/>
          <w:lang w:val="en-US" w:eastAsia="zh-CN" w:bidi="ar-SA"/>
        </w:rPr>
        <w:t>开展提供帮助。</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（五）从源头上强化对专项资金预算管理</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楷体" w:eastAsia="仿宋_GB2312" w:cs="仿宋"/>
          <w:color w:val="auto"/>
          <w:spacing w:val="-4"/>
          <w:sz w:val="32"/>
          <w:szCs w:val="32"/>
          <w:highlight w:val="none"/>
        </w:rPr>
      </w:pPr>
      <w:r>
        <w:rPr>
          <w:rFonts w:ascii="仿宋_GB2312" w:hAnsi="楷体" w:eastAsia="仿宋_GB2312" w:cs="仿宋"/>
          <w:color w:val="auto"/>
          <w:spacing w:val="-4"/>
          <w:sz w:val="32"/>
          <w:szCs w:val="32"/>
          <w:highlight w:val="none"/>
        </w:rPr>
        <w:t>实行专项资金预算管理，结合单位实际</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 xml:space="preserve"> 按轻重缓急统筹安排编制预算</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提高预算编制科学性和合理性</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优化资金结构。</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（六）按时间进度分解资金使用计划</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hint="eastAsia" w:ascii="仿宋_GB2312" w:hAnsi="楷体" w:eastAsia="仿宋_GB2312" w:cs="仿宋"/>
          <w:color w:val="auto"/>
          <w:spacing w:val="-4"/>
          <w:sz w:val="32"/>
          <w:szCs w:val="32"/>
          <w:highlight w:val="none"/>
        </w:rPr>
      </w:pPr>
      <w:r>
        <w:rPr>
          <w:rFonts w:hint="eastAsia" w:ascii="仿宋_GB2312" w:hAnsi="楷体" w:eastAsia="仿宋_GB2312" w:cs="仿宋"/>
          <w:color w:val="auto"/>
          <w:spacing w:val="-4"/>
          <w:sz w:val="32"/>
          <w:szCs w:val="32"/>
          <w:highlight w:val="none"/>
        </w:rPr>
        <w:t>专项资金的使用，要事前做计划，事中进行控制，事后总结提高。合理安排资金使用</w:t>
      </w:r>
      <w:r>
        <w:rPr>
          <w:rFonts w:hint="eastAsia" w:ascii="仿宋_GB2312" w:hAnsi="楷体" w:eastAsia="仿宋_GB2312" w:cs="仿宋"/>
          <w:color w:val="auto"/>
          <w:spacing w:val="-4"/>
          <w:sz w:val="32"/>
          <w:szCs w:val="32"/>
          <w:highlight w:val="none"/>
          <w:lang w:eastAsia="zh-CN"/>
        </w:rPr>
        <w:t>，</w:t>
      </w:r>
      <w:r>
        <w:rPr>
          <w:rFonts w:hint="eastAsia" w:ascii="仿宋_GB2312" w:hAnsi="楷体" w:eastAsia="仿宋_GB2312" w:cs="仿宋"/>
          <w:color w:val="auto"/>
          <w:spacing w:val="-4"/>
          <w:sz w:val="32"/>
          <w:szCs w:val="32"/>
          <w:highlight w:val="none"/>
        </w:rPr>
        <w:t>充分体现资金投向的目标和效益。</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（七）进一步提高绩效管理水平</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楷体" w:eastAsia="仿宋_GB2312" w:cs="仿宋"/>
          <w:color w:val="auto"/>
          <w:spacing w:val="-4"/>
          <w:sz w:val="32"/>
          <w:szCs w:val="32"/>
          <w:highlight w:val="none"/>
        </w:rPr>
      </w:pPr>
      <w:r>
        <w:rPr>
          <w:rFonts w:ascii="仿宋_GB2312" w:hAnsi="楷体" w:eastAsia="仿宋_GB2312" w:cs="仿宋"/>
          <w:color w:val="auto"/>
          <w:spacing w:val="-4"/>
          <w:sz w:val="32"/>
          <w:szCs w:val="32"/>
          <w:highlight w:val="none"/>
        </w:rPr>
        <w:t>由于目前的预算管理在编制和实施中还存在编制不细、预算调整较多、追加预算比重较大等现象</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因此项目预算执行的准确性还有待加强</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同时分析手段和技术水平上还有待完善。在今后的工作中</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我们将加强与财政</w:t>
      </w:r>
      <w:r>
        <w:rPr>
          <w:rFonts w:hint="eastAsia" w:ascii="仿宋_GB2312" w:hAnsi="楷体" w:eastAsia="仿宋_GB2312" w:cs="仿宋"/>
          <w:color w:val="auto"/>
          <w:spacing w:val="-4"/>
          <w:sz w:val="32"/>
          <w:szCs w:val="32"/>
          <w:highlight w:val="none"/>
          <w:lang w:eastAsia="zh-CN"/>
        </w:rPr>
        <w:t>单位</w:t>
      </w:r>
      <w:r>
        <w:rPr>
          <w:rFonts w:ascii="仿宋_GB2312" w:hAnsi="楷体" w:eastAsia="仿宋_GB2312" w:cs="仿宋"/>
          <w:color w:val="auto"/>
          <w:spacing w:val="-4"/>
          <w:sz w:val="32"/>
          <w:szCs w:val="32"/>
          <w:highlight w:val="none"/>
        </w:rPr>
        <w:t>的紧密配合</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开展好整体支出及项目资金绩效管理工作</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运用好绩效评价的结果</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不断提升预算管理水平。</w:t>
      </w:r>
    </w:p>
    <w:p>
      <w:pPr>
        <w:spacing w:line="600" w:lineRule="exact"/>
        <w:ind w:firstLine="960" w:firstLineChars="300"/>
        <w:jc w:val="left"/>
        <w:rPr>
          <w:rFonts w:ascii="仿宋_GB2312" w:hAnsi="宋体" w:eastAsia="仿宋_GB2312"/>
          <w:bCs/>
          <w:color w:val="auto"/>
          <w:sz w:val="32"/>
          <w:szCs w:val="32"/>
          <w:highlight w:val="none"/>
        </w:rPr>
      </w:pPr>
    </w:p>
    <w:p>
      <w:pPr>
        <w:rPr>
          <w:color w:val="auto"/>
          <w:highlight w:val="none"/>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86"/>
    <w:family w:val="auto"/>
    <w:pitch w:val="default"/>
    <w:sig w:usb0="E0000AFF" w:usb1="00007843" w:usb2="00000001" w:usb3="00000000" w:csb0="400001BF" w:csb1="DFF70000"/>
  </w:font>
  <w:font w:name="宋体">
    <w:altName w:val="汉仪书宋二KW"/>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altName w:val="方正仿宋_GBK"/>
    <w:panose1 w:val="00000000000000000000"/>
    <w:charset w:val="86"/>
    <w:family w:val="modern"/>
    <w:pitch w:val="default"/>
    <w:sig w:usb0="00000000" w:usb1="00000000" w:usb2="00000000" w:usb3="00000000" w:csb0="00040000" w:csb1="00000000"/>
  </w:font>
  <w:font w:name="方正小标宋_GBK">
    <w:altName w:val="汉仪书宋二KW"/>
    <w:panose1 w:val="00000000000000000000"/>
    <w:charset w:val="86"/>
    <w:family w:val="script"/>
    <w:pitch w:val="default"/>
    <w:sig w:usb0="00000000" w:usb1="00000000" w:usb2="00000000" w:usb3="00000000" w:csb0="00040000" w:csb1="00000000"/>
  </w:font>
  <w:font w:name="华文中宋">
    <w:altName w:val="汉仪书宋二KW"/>
    <w:panose1 w:val="02010600040101010101"/>
    <w:charset w:val="86"/>
    <w:family w:val="auto"/>
    <w:pitch w:val="default"/>
    <w:sig w:usb0="00000000" w:usb1="00000000" w:usb2="00000000" w:usb3="00000000" w:csb0="0004009F" w:csb1="DFD70000"/>
  </w:font>
  <w:font w:name="仿宋">
    <w:altName w:val="方正仿宋_GBK"/>
    <w:panose1 w:val="02010609060101010101"/>
    <w:charset w:val="86"/>
    <w:family w:val="modern"/>
    <w:pitch w:val="default"/>
    <w:sig w:usb0="00000000" w:usb1="00000000" w:usb2="00000016" w:usb3="00000000" w:csb0="00040001" w:csb1="00000000"/>
  </w:font>
  <w:font w:name="楷体">
    <w:altName w:val="汉仪楷体KW"/>
    <w:panose1 w:val="02010609060101010101"/>
    <w:charset w:val="86"/>
    <w:family w:val="modern"/>
    <w:pitch w:val="default"/>
    <w:sig w:usb0="00000000" w:usb1="00000000" w:usb2="00000016" w:usb3="00000000" w:csb0="00040001" w:csb1="00000000"/>
  </w:font>
  <w:font w:name="方正楷体简体">
    <w:altName w:val="汉仪楷体简"/>
    <w:panose1 w:val="00000000000000000000"/>
    <w:charset w:val="86"/>
    <w:family w:val="auto"/>
    <w:pitch w:val="default"/>
    <w:sig w:usb0="00000000" w:usb1="00000000" w:usb2="00000012" w:usb3="00000000" w:csb0="00040001" w:csb1="00000000"/>
  </w:font>
  <w:font w:name="汉仪书宋二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汉仪中黑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楷体KW">
    <w:panose1 w:val="00020600040101010101"/>
    <w:charset w:val="86"/>
    <w:family w:val="auto"/>
    <w:pitch w:val="default"/>
    <w:sig w:usb0="A00002BF" w:usb1="18EF7CFA" w:usb2="00000016" w:usb3="00000000" w:csb0="0004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95FED92"/>
    <w:multiLevelType w:val="singleLevel"/>
    <w:tmpl w:val="E95FED92"/>
    <w:lvl w:ilvl="0" w:tentative="0">
      <w:start w:val="2"/>
      <w:numFmt w:val="decimal"/>
      <w:suff w:val="nothing"/>
      <w:lvlText w:val="%1．"/>
      <w:lvlJc w:val="left"/>
    </w:lvl>
  </w:abstractNum>
  <w:abstractNum w:abstractNumId="1">
    <w:nsid w:val="69703BB8"/>
    <w:multiLevelType w:val="multilevel"/>
    <w:tmpl w:val="69703BB8"/>
    <w:lvl w:ilvl="0" w:tentative="0">
      <w:start w:val="1"/>
      <w:numFmt w:val="japaneseCounting"/>
      <w:lvlText w:val="%1、"/>
      <w:lvlJc w:val="left"/>
      <w:pPr>
        <w:ind w:left="1980" w:hanging="720"/>
      </w:pPr>
      <w:rPr>
        <w:rFonts w:hint="default"/>
      </w:rPr>
    </w:lvl>
    <w:lvl w:ilvl="1" w:tentative="0">
      <w:start w:val="1"/>
      <w:numFmt w:val="lowerLetter"/>
      <w:lvlText w:val="%2)"/>
      <w:lvlJc w:val="left"/>
      <w:pPr>
        <w:ind w:left="1488" w:hanging="420"/>
      </w:pPr>
    </w:lvl>
    <w:lvl w:ilvl="2" w:tentative="0">
      <w:start w:val="1"/>
      <w:numFmt w:val="lowerRoman"/>
      <w:lvlText w:val="%3."/>
      <w:lvlJc w:val="right"/>
      <w:pPr>
        <w:ind w:left="1908" w:hanging="420"/>
      </w:pPr>
    </w:lvl>
    <w:lvl w:ilvl="3" w:tentative="0">
      <w:start w:val="1"/>
      <w:numFmt w:val="decimal"/>
      <w:lvlText w:val="%4."/>
      <w:lvlJc w:val="left"/>
      <w:pPr>
        <w:ind w:left="2328" w:hanging="420"/>
      </w:pPr>
    </w:lvl>
    <w:lvl w:ilvl="4" w:tentative="0">
      <w:start w:val="1"/>
      <w:numFmt w:val="lowerLetter"/>
      <w:lvlText w:val="%5)"/>
      <w:lvlJc w:val="left"/>
      <w:pPr>
        <w:ind w:left="2748" w:hanging="420"/>
      </w:pPr>
    </w:lvl>
    <w:lvl w:ilvl="5" w:tentative="0">
      <w:start w:val="1"/>
      <w:numFmt w:val="lowerRoman"/>
      <w:lvlText w:val="%6."/>
      <w:lvlJc w:val="right"/>
      <w:pPr>
        <w:ind w:left="3168" w:hanging="420"/>
      </w:pPr>
    </w:lvl>
    <w:lvl w:ilvl="6" w:tentative="0">
      <w:start w:val="1"/>
      <w:numFmt w:val="decimal"/>
      <w:lvlText w:val="%7."/>
      <w:lvlJc w:val="left"/>
      <w:pPr>
        <w:ind w:left="3588" w:hanging="420"/>
      </w:pPr>
    </w:lvl>
    <w:lvl w:ilvl="7" w:tentative="0">
      <w:start w:val="1"/>
      <w:numFmt w:val="lowerLetter"/>
      <w:lvlText w:val="%8)"/>
      <w:lvlJc w:val="left"/>
      <w:pPr>
        <w:ind w:left="4008" w:hanging="420"/>
      </w:pPr>
    </w:lvl>
    <w:lvl w:ilvl="8" w:tentative="0">
      <w:start w:val="1"/>
      <w:numFmt w:val="lowerRoman"/>
      <w:lvlText w:val="%9."/>
      <w:lvlJc w:val="right"/>
      <w:pPr>
        <w:ind w:left="4428"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AwZmYzMDUwNzhmYmVmMzNlY2I1MjAwNzI2NzY5MDUifQ=="/>
  </w:docVars>
  <w:rsids>
    <w:rsidRoot w:val="00EB3604"/>
    <w:rsid w:val="00021B05"/>
    <w:rsid w:val="000B791B"/>
    <w:rsid w:val="001C7F2C"/>
    <w:rsid w:val="00340E58"/>
    <w:rsid w:val="003E45AA"/>
    <w:rsid w:val="00486CD9"/>
    <w:rsid w:val="00584481"/>
    <w:rsid w:val="00653C1A"/>
    <w:rsid w:val="0072543F"/>
    <w:rsid w:val="007A5D83"/>
    <w:rsid w:val="007A798C"/>
    <w:rsid w:val="007B51CE"/>
    <w:rsid w:val="007D7702"/>
    <w:rsid w:val="007E47F4"/>
    <w:rsid w:val="007F0F7C"/>
    <w:rsid w:val="00892E0B"/>
    <w:rsid w:val="008F0DCE"/>
    <w:rsid w:val="00916058"/>
    <w:rsid w:val="00AB72C1"/>
    <w:rsid w:val="00C10BB4"/>
    <w:rsid w:val="00C83466"/>
    <w:rsid w:val="00CE0C6C"/>
    <w:rsid w:val="00DB647F"/>
    <w:rsid w:val="00DC7E33"/>
    <w:rsid w:val="00E40ABD"/>
    <w:rsid w:val="00E8616A"/>
    <w:rsid w:val="00EB3604"/>
    <w:rsid w:val="011D4DB2"/>
    <w:rsid w:val="01264114"/>
    <w:rsid w:val="0145189C"/>
    <w:rsid w:val="020B07BA"/>
    <w:rsid w:val="0232420A"/>
    <w:rsid w:val="02656D15"/>
    <w:rsid w:val="0282265B"/>
    <w:rsid w:val="0286616D"/>
    <w:rsid w:val="02D53963"/>
    <w:rsid w:val="031710E8"/>
    <w:rsid w:val="033D0BD9"/>
    <w:rsid w:val="041C0868"/>
    <w:rsid w:val="04506513"/>
    <w:rsid w:val="04C325F4"/>
    <w:rsid w:val="053C376F"/>
    <w:rsid w:val="056B2C09"/>
    <w:rsid w:val="059E4F1D"/>
    <w:rsid w:val="05CB6613"/>
    <w:rsid w:val="065340BF"/>
    <w:rsid w:val="06696209"/>
    <w:rsid w:val="0744132C"/>
    <w:rsid w:val="0883680C"/>
    <w:rsid w:val="08CC471F"/>
    <w:rsid w:val="0AC65524"/>
    <w:rsid w:val="0AEA4092"/>
    <w:rsid w:val="0B6F48AA"/>
    <w:rsid w:val="0B924AC5"/>
    <w:rsid w:val="0BC64CF0"/>
    <w:rsid w:val="0C1013EF"/>
    <w:rsid w:val="0D1922F1"/>
    <w:rsid w:val="0D9F0DF1"/>
    <w:rsid w:val="0E325CFD"/>
    <w:rsid w:val="0E6E4ABB"/>
    <w:rsid w:val="0E737D65"/>
    <w:rsid w:val="0F7479C3"/>
    <w:rsid w:val="102548FB"/>
    <w:rsid w:val="109F4242"/>
    <w:rsid w:val="10DF6E84"/>
    <w:rsid w:val="1161645C"/>
    <w:rsid w:val="11BA6FA5"/>
    <w:rsid w:val="127423D4"/>
    <w:rsid w:val="12D07449"/>
    <w:rsid w:val="13BD0265"/>
    <w:rsid w:val="13C71FBF"/>
    <w:rsid w:val="1438599A"/>
    <w:rsid w:val="148B2C7B"/>
    <w:rsid w:val="14F27B7B"/>
    <w:rsid w:val="15190DF9"/>
    <w:rsid w:val="16F94A67"/>
    <w:rsid w:val="189E58C4"/>
    <w:rsid w:val="197406AD"/>
    <w:rsid w:val="19F6744F"/>
    <w:rsid w:val="19FE0A5D"/>
    <w:rsid w:val="1C2C07FE"/>
    <w:rsid w:val="1D073223"/>
    <w:rsid w:val="1D1025C8"/>
    <w:rsid w:val="1D95187B"/>
    <w:rsid w:val="1E473C78"/>
    <w:rsid w:val="1E66234A"/>
    <w:rsid w:val="1F5C2EF9"/>
    <w:rsid w:val="1FBB36D6"/>
    <w:rsid w:val="200F4073"/>
    <w:rsid w:val="222A5354"/>
    <w:rsid w:val="229016F2"/>
    <w:rsid w:val="22C17287"/>
    <w:rsid w:val="234B1673"/>
    <w:rsid w:val="236F5373"/>
    <w:rsid w:val="23820713"/>
    <w:rsid w:val="24B86128"/>
    <w:rsid w:val="260C4DDC"/>
    <w:rsid w:val="261860EB"/>
    <w:rsid w:val="27FB2943"/>
    <w:rsid w:val="284165B5"/>
    <w:rsid w:val="28997CFB"/>
    <w:rsid w:val="28F109D1"/>
    <w:rsid w:val="291F3644"/>
    <w:rsid w:val="2A6D372F"/>
    <w:rsid w:val="2AF77D81"/>
    <w:rsid w:val="2B043BBD"/>
    <w:rsid w:val="2B4341EB"/>
    <w:rsid w:val="2C5B0CCA"/>
    <w:rsid w:val="2D436320"/>
    <w:rsid w:val="2D6A2DFD"/>
    <w:rsid w:val="2DA930BF"/>
    <w:rsid w:val="2DE92A48"/>
    <w:rsid w:val="2E913C19"/>
    <w:rsid w:val="2EE7129F"/>
    <w:rsid w:val="2EF80FF5"/>
    <w:rsid w:val="30521277"/>
    <w:rsid w:val="307179D7"/>
    <w:rsid w:val="309A399B"/>
    <w:rsid w:val="30A967BD"/>
    <w:rsid w:val="30BA7F91"/>
    <w:rsid w:val="30C71428"/>
    <w:rsid w:val="31153648"/>
    <w:rsid w:val="311D1738"/>
    <w:rsid w:val="31994C65"/>
    <w:rsid w:val="32650FE8"/>
    <w:rsid w:val="32F63DCB"/>
    <w:rsid w:val="330C219F"/>
    <w:rsid w:val="33D53037"/>
    <w:rsid w:val="342B4EC5"/>
    <w:rsid w:val="34555358"/>
    <w:rsid w:val="35021ABB"/>
    <w:rsid w:val="350E12DF"/>
    <w:rsid w:val="35274E80"/>
    <w:rsid w:val="35446943"/>
    <w:rsid w:val="361E2E4B"/>
    <w:rsid w:val="37213B34"/>
    <w:rsid w:val="372733FD"/>
    <w:rsid w:val="37371439"/>
    <w:rsid w:val="388274F5"/>
    <w:rsid w:val="38A61EBD"/>
    <w:rsid w:val="3A145058"/>
    <w:rsid w:val="3A6D58EC"/>
    <w:rsid w:val="3ABA302D"/>
    <w:rsid w:val="3B9557AC"/>
    <w:rsid w:val="3BBF2075"/>
    <w:rsid w:val="3D5F5739"/>
    <w:rsid w:val="3D665ACB"/>
    <w:rsid w:val="3D8E64AC"/>
    <w:rsid w:val="3DF04555"/>
    <w:rsid w:val="3E1A36DC"/>
    <w:rsid w:val="3F267C21"/>
    <w:rsid w:val="3F721936"/>
    <w:rsid w:val="3F7707D1"/>
    <w:rsid w:val="3FD249C9"/>
    <w:rsid w:val="3FD35BB0"/>
    <w:rsid w:val="4008497A"/>
    <w:rsid w:val="40614A93"/>
    <w:rsid w:val="41D16217"/>
    <w:rsid w:val="41FB2085"/>
    <w:rsid w:val="42C319E3"/>
    <w:rsid w:val="433C35D6"/>
    <w:rsid w:val="433F06A1"/>
    <w:rsid w:val="43925232"/>
    <w:rsid w:val="44081B00"/>
    <w:rsid w:val="44202481"/>
    <w:rsid w:val="455525A3"/>
    <w:rsid w:val="46E706D9"/>
    <w:rsid w:val="47752476"/>
    <w:rsid w:val="492321B5"/>
    <w:rsid w:val="4A51010F"/>
    <w:rsid w:val="4AC659A8"/>
    <w:rsid w:val="4AD11708"/>
    <w:rsid w:val="4CDE3361"/>
    <w:rsid w:val="4CE26E4A"/>
    <w:rsid w:val="4D345101"/>
    <w:rsid w:val="4D5352D2"/>
    <w:rsid w:val="4DE86C66"/>
    <w:rsid w:val="4EC92350"/>
    <w:rsid w:val="4ED267AD"/>
    <w:rsid w:val="4EE93236"/>
    <w:rsid w:val="4F245112"/>
    <w:rsid w:val="502F02AD"/>
    <w:rsid w:val="50966E31"/>
    <w:rsid w:val="51C70EA9"/>
    <w:rsid w:val="51EC08C3"/>
    <w:rsid w:val="529C6CBB"/>
    <w:rsid w:val="52A04256"/>
    <w:rsid w:val="52DD0612"/>
    <w:rsid w:val="539D3383"/>
    <w:rsid w:val="53B535AD"/>
    <w:rsid w:val="54942087"/>
    <w:rsid w:val="54BE6991"/>
    <w:rsid w:val="54F842B6"/>
    <w:rsid w:val="54FC61C8"/>
    <w:rsid w:val="55525A1B"/>
    <w:rsid w:val="556514C9"/>
    <w:rsid w:val="55A222D1"/>
    <w:rsid w:val="561D1A23"/>
    <w:rsid w:val="570E41C9"/>
    <w:rsid w:val="58CB188F"/>
    <w:rsid w:val="58FB7FD2"/>
    <w:rsid w:val="591E19AE"/>
    <w:rsid w:val="59315140"/>
    <w:rsid w:val="59CA2AFC"/>
    <w:rsid w:val="5B9757C7"/>
    <w:rsid w:val="5BD87229"/>
    <w:rsid w:val="5D5649A4"/>
    <w:rsid w:val="5DAA22FE"/>
    <w:rsid w:val="5DB224AE"/>
    <w:rsid w:val="5EB12FFC"/>
    <w:rsid w:val="5F1B394B"/>
    <w:rsid w:val="5FCF4505"/>
    <w:rsid w:val="60810646"/>
    <w:rsid w:val="60A001E1"/>
    <w:rsid w:val="61533F93"/>
    <w:rsid w:val="61883CD3"/>
    <w:rsid w:val="631E50AA"/>
    <w:rsid w:val="63667F05"/>
    <w:rsid w:val="64F5745B"/>
    <w:rsid w:val="656071F2"/>
    <w:rsid w:val="668A5953"/>
    <w:rsid w:val="66A41E24"/>
    <w:rsid w:val="670033BF"/>
    <w:rsid w:val="67163E36"/>
    <w:rsid w:val="67672C3C"/>
    <w:rsid w:val="67A46ABB"/>
    <w:rsid w:val="67A760D9"/>
    <w:rsid w:val="67AF9C91"/>
    <w:rsid w:val="67D81671"/>
    <w:rsid w:val="67E414E8"/>
    <w:rsid w:val="6806196D"/>
    <w:rsid w:val="68AE157F"/>
    <w:rsid w:val="69596E5B"/>
    <w:rsid w:val="697650C9"/>
    <w:rsid w:val="6B88085C"/>
    <w:rsid w:val="6BF1756B"/>
    <w:rsid w:val="6D2B4E93"/>
    <w:rsid w:val="6ECC0499"/>
    <w:rsid w:val="6F5E1AA3"/>
    <w:rsid w:val="6FC63036"/>
    <w:rsid w:val="707E5FA2"/>
    <w:rsid w:val="709519DA"/>
    <w:rsid w:val="70AD31F0"/>
    <w:rsid w:val="71A34332"/>
    <w:rsid w:val="738F545F"/>
    <w:rsid w:val="74E90A77"/>
    <w:rsid w:val="75E10FF1"/>
    <w:rsid w:val="76434FBA"/>
    <w:rsid w:val="769A4E05"/>
    <w:rsid w:val="769F54BB"/>
    <w:rsid w:val="77474604"/>
    <w:rsid w:val="787C37F2"/>
    <w:rsid w:val="78846DB5"/>
    <w:rsid w:val="7B5A04B1"/>
    <w:rsid w:val="7C5764FD"/>
    <w:rsid w:val="7F1D12A0"/>
    <w:rsid w:val="7F200B83"/>
    <w:rsid w:val="7F5D58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unhideWhenUsed/>
    <w:qFormat/>
    <w:uiPriority w:val="9"/>
    <w:pPr>
      <w:keepNext/>
      <w:keepLines/>
      <w:spacing w:before="260" w:after="260" w:line="416" w:lineRule="auto"/>
      <w:outlineLvl w:val="2"/>
    </w:pPr>
    <w:rPr>
      <w:b/>
      <w:bCs/>
      <w:sz w:val="32"/>
      <w:szCs w:val="32"/>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spacing w:before="100" w:beforeAutospacing="1" w:after="100" w:afterAutospacing="1"/>
      <w:jc w:val="left"/>
    </w:pPr>
    <w:rPr>
      <w:rFonts w:cs="Times New Roman"/>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Strong"/>
    <w:basedOn w:val="8"/>
    <w:qFormat/>
    <w:uiPriority w:val="0"/>
    <w:rPr>
      <w:b/>
      <w:bCs/>
    </w:rPr>
  </w:style>
  <w:style w:type="character" w:customStyle="1" w:styleId="10">
    <w:name w:val="页眉 字符"/>
    <w:basedOn w:val="8"/>
    <w:link w:val="4"/>
    <w:qFormat/>
    <w:uiPriority w:val="99"/>
    <w:rPr>
      <w:sz w:val="18"/>
      <w:szCs w:val="18"/>
    </w:rPr>
  </w:style>
  <w:style w:type="character" w:customStyle="1" w:styleId="11">
    <w:name w:val="页脚 字符"/>
    <w:basedOn w:val="8"/>
    <w:link w:val="3"/>
    <w:qFormat/>
    <w:uiPriority w:val="99"/>
    <w:rPr>
      <w:sz w:val="18"/>
      <w:szCs w:val="18"/>
    </w:rPr>
  </w:style>
  <w:style w:type="paragraph" w:styleId="12">
    <w:name w:val="List Paragraph"/>
    <w:basedOn w:val="1"/>
    <w:qFormat/>
    <w:uiPriority w:val="34"/>
    <w:pPr>
      <w:ind w:firstLine="420" w:firstLineChars="200"/>
    </w:pPr>
  </w:style>
  <w:style w:type="paragraph" w:customStyle="1" w:styleId="13">
    <w:name w:val="正文A"/>
    <w:basedOn w:val="1"/>
    <w:qFormat/>
    <w:uiPriority w:val="4"/>
    <w:pPr>
      <w:widowControl/>
      <w:spacing w:line="580" w:lineRule="exact"/>
      <w:ind w:firstLine="640"/>
      <w:jc w:val="left"/>
    </w:pPr>
    <w:rPr>
      <w:rFonts w:ascii="仿宋_GB2312" w:hAnsi="仿宋_GB2312" w:eastAsia="仿宋_GB2312" w:cs="宋体"/>
      <w:sz w:val="32"/>
      <w:szCs w:val="32"/>
    </w:rPr>
  </w:style>
  <w:style w:type="character" w:customStyle="1" w:styleId="14">
    <w:name w:val="font21"/>
    <w:basedOn w:val="8"/>
    <w:qFormat/>
    <w:uiPriority w:val="0"/>
    <w:rPr>
      <w:rFonts w:hint="eastAsia" w:ascii="宋体" w:hAnsi="宋体" w:eastAsia="宋体" w:cs="宋体"/>
      <w:color w:val="000000"/>
      <w:sz w:val="20"/>
      <w:szCs w:val="20"/>
      <w:u w:val="none"/>
    </w:rPr>
  </w:style>
  <w:style w:type="character" w:customStyle="1" w:styleId="15">
    <w:name w:val="font01"/>
    <w:basedOn w:val="8"/>
    <w:qFormat/>
    <w:uiPriority w:val="0"/>
    <w:rPr>
      <w:rFonts w:ascii="Calibri" w:hAnsi="Calibri" w:cs="Calibri"/>
      <w:color w:val="000000"/>
      <w:sz w:val="20"/>
      <w:szCs w:val="20"/>
      <w:u w:val="none"/>
    </w:rPr>
  </w:style>
  <w:style w:type="character" w:customStyle="1" w:styleId="16">
    <w:name w:val="font11"/>
    <w:basedOn w:val="8"/>
    <w:qFormat/>
    <w:uiPriority w:val="0"/>
    <w:rPr>
      <w:rFonts w:hint="default" w:ascii="Arial" w:hAnsi="Arial" w:cs="Arial"/>
      <w:color w:val="000000"/>
      <w:sz w:val="20"/>
      <w:szCs w:val="20"/>
      <w:u w:val="none"/>
    </w:rPr>
  </w:style>
  <w:style w:type="character" w:customStyle="1" w:styleId="17">
    <w:name w:val="font31"/>
    <w:basedOn w:val="8"/>
    <w:qFormat/>
    <w:uiPriority w:val="0"/>
    <w:rPr>
      <w:rFonts w:hint="default" w:ascii="Calibri" w:hAnsi="Calibri" w:cs="Calibri"/>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57</Words>
  <Characters>328</Characters>
  <Lines>2</Lines>
  <Paragraphs>1</Paragraphs>
  <TotalTime>1</TotalTime>
  <ScaleCrop>false</ScaleCrop>
  <LinksUpToDate>false</LinksUpToDate>
  <CharactersWithSpaces>384</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2020-06-04T21:22:00Z</dcterms:created>
  <dc:creator>hongbing liu</dc:creator>
  <cp:lastModifiedBy>太阳</cp:lastModifiedBy>
  <dcterms:modified xsi:type="dcterms:W3CDTF">2024-10-11T19:39:37Z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4E2A216151A24EE5A190066F518526B7</vt:lpwstr>
  </property>
</Properties>
</file>