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hint="eastAsia"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民丰县文化体育广播电视和旅游局</w:t>
      </w:r>
      <w:r>
        <w:rPr>
          <w:rFonts w:hint="eastAsia" w:ascii="方正小标宋_GBK" w:hAnsi="华文中宋" w:eastAsia="方正小标宋_GBK" w:cs="宋体"/>
          <w:b/>
          <w:color w:val="auto"/>
          <w:kern w:val="0"/>
          <w:sz w:val="48"/>
          <w:szCs w:val="48"/>
          <w:highlight w:val="none"/>
        </w:rPr>
        <w:t>整体支出</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绩效自评报告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部门单位名称（公章）：民丰县文化体育广播电视和旅游局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（1）宣传、贯彻执行党和国家关于体育、文化艺术、广播影视和新闻出版工作的路线、方针、政策及</w:t>
      </w:r>
      <w:r>
        <w:rPr>
          <w:rFonts w:hint="eastAsia" w:ascii="仿宋_GB2312" w:hAnsi="宋体" w:eastAsia="仿宋_GB2312"/>
          <w:b w:val="0"/>
          <w:bCs/>
          <w:sz w:val="32"/>
          <w:szCs w:val="32"/>
          <w:lang w:eastAsia="zh-CN"/>
        </w:rPr>
        <w:t>法律法规</w:t>
      </w:r>
      <w:r>
        <w:rPr>
          <w:rFonts w:hint="eastAsia" w:ascii="仿宋_GB2312" w:hAnsi="宋体" w:eastAsia="仿宋_GB2312"/>
          <w:b w:val="0"/>
          <w:bCs/>
          <w:sz w:val="32"/>
          <w:szCs w:val="32"/>
        </w:rPr>
        <w:t>，研究拟订全县体育、文化艺术、广播影视和新闻出版工作的目标、规划并组织实施。</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（2）负责指导群众文化体育活动和广播影视宣传工作的开展；负责广播影视节目创优工作。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（3）负责对辖区内文化市场、新闻出版市场经营单位和新闻出版市场经营活动进行监督和检查，依法查处违法、违禁、违规经营活动；制定全市“扫黄打非”方案并组织实施。</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（4）负责全县广播影视行业管理，监督管理广播电影电视节目、卫星电视节目的收录和通过信息网络向公众传播的广播影视节目，依法查处违反广播影视</w:t>
      </w:r>
      <w:r>
        <w:rPr>
          <w:rFonts w:hint="eastAsia" w:ascii="仿宋_GB2312" w:hAnsi="宋体" w:eastAsia="仿宋_GB2312"/>
          <w:b w:val="0"/>
          <w:bCs/>
          <w:sz w:val="32"/>
          <w:szCs w:val="32"/>
          <w:lang w:eastAsia="zh-CN"/>
        </w:rPr>
        <w:t>法律法规</w:t>
      </w:r>
      <w:r>
        <w:rPr>
          <w:rFonts w:hint="eastAsia" w:ascii="仿宋_GB2312" w:hAnsi="宋体" w:eastAsia="仿宋_GB2312"/>
          <w:b w:val="0"/>
          <w:bCs/>
          <w:sz w:val="32"/>
          <w:szCs w:val="32"/>
        </w:rPr>
        <w:t>、规章的行为。保证广播影视节目的安全播出。</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综合管理全市文化体育事业，组织开展并管理全市性重大文化艺术活动，推动各门类艺术的发展；指导、协调、推动街道社区、企业、校园、军营、老年文体事业的发展；指导图书馆、文化馆（站）和基层文化建设；积极开展文化艺术创作，促进文化产业发展。</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（6）负责落实全民健身计划；管理全县各种体育比赛，承办全县综合性运动会竞赛工作；指导公共体育设施建设，负责对公共体育设施的监督管理；负责体育彩票销售管理及相关工作。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（7）挖掘、整理、保护文物和非物质文化遗产。</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8</w:t>
      </w:r>
      <w:r>
        <w:rPr>
          <w:rFonts w:hint="eastAsia" w:ascii="仿宋_GB2312" w:hAnsi="宋体" w:eastAsia="仿宋_GB2312"/>
          <w:b w:val="0"/>
          <w:bCs/>
          <w:sz w:val="32"/>
          <w:szCs w:val="32"/>
        </w:rPr>
        <w:t>）领导民丰县广播电视台等宣传单位，对其重大宣传进行协调和检查，统一组织和管理其节目的传输覆盖。</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（9）指导和协调广播影视科研工作，指导广播影视技术维护和管理工作。管理广播影视对外交流与合作。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（10）承办县人民政府交办的其他事项。</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rPr>
      </w:pPr>
      <w:r>
        <w:rPr>
          <w:rFonts w:hint="eastAsia" w:ascii="仿宋_GB2312" w:hAnsi="宋体" w:eastAsia="仿宋_GB2312"/>
          <w:b w:val="0"/>
          <w:bCs/>
          <w:sz w:val="32"/>
          <w:szCs w:val="32"/>
        </w:rPr>
        <w:t>民丰县文旅局编制数60人，实有人数83人，其中：在职59人，退休24人，离休0人；行政编制6人，参照公务员法管理事业人员3人，非参公事业人员59人。</w:t>
      </w:r>
    </w:p>
    <w:p>
      <w:pPr>
        <w:ind w:firstLine="320" w:firstLineChars="100"/>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宋体"/>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lang w:eastAsia="zh-CN"/>
        </w:rPr>
        <w:t>）把握导向，引领发展，围绕主线、领会实质，积极、全面、准确、深入地宣传习近平新时代中国特色社会主义思想，要把学习贯彻党的二十大精神和党中央各项决策部署体现到行动上、落实到工作中，结合贯彻落实习近平总书记对新疆系列重要讲话重要指示批示精神，完整准确全面贯彻新发展理念，提振发展信心，宣传引导全县上下切实增强“四个意识”，坚持“四个自信”，进一步营造助推跨越发展的强大舆论氛围。</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lang w:eastAsia="zh-CN"/>
        </w:rPr>
        <w:t>）立足新闻宣传主责主业，一方面围绕县委政府中心工作，继续推进各类主题大型系列报道等采访，为全县重点工作推进营造浓厚氛围。另一方面聚焦服务群众，策划开设专题专栏，致力搭建一座政府与群众高效沟通的桥梁。同时，持续做好新闻提质文章，突出融合传播效果，打造网上网下一体、内宣外宣联动的主流舆论格局。</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 xml:space="preserve">公共文化服务体系不断优化。全县县级图书馆 1 座， 乡镇分馆 7 座，现拥有馆藏图书 22 大类 5.1 万册，坚持错时开 放 8 小时，每周开放不少于 48 小时。体育健身场地 355 个，健 身路径 48 套 488 件，发放各类体育建设设施 550 余件套，并在 若克雅乡投资 300 </w:t>
      </w:r>
      <w:r>
        <w:rPr>
          <w:rFonts w:hint="eastAsia" w:ascii="仿宋_GB2312" w:hAnsi="宋体" w:eastAsia="仿宋_GB2312"/>
          <w:b w:val="0"/>
          <w:bCs/>
          <w:sz w:val="32"/>
          <w:szCs w:val="32"/>
          <w:lang w:eastAsia="zh-CN"/>
        </w:rPr>
        <w:t>万元</w:t>
      </w:r>
      <w:r>
        <w:rPr>
          <w:rFonts w:hint="eastAsia" w:ascii="仿宋_GB2312" w:hAnsi="宋体" w:eastAsia="仿宋_GB2312"/>
          <w:b w:val="0"/>
          <w:bCs/>
          <w:sz w:val="32"/>
          <w:szCs w:val="32"/>
        </w:rPr>
        <w:t>新建足球场 1 座，在尼雅新村投资 50 万元 新建室外健身体育场 1 座，为乡村各项群众文化体育活动的开展 提供有力保障。</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 xml:space="preserve">文化惠民工作持续推进。文旅局以高度的文化自觉和 文化自信，加快推进文化建设。以双休、节假日、传统节日世界 读书日等时间节点为抓手，开展流动图书“七进”活动、读书分 享会、下乡送书、诵读活动、演讲比赛、书画展、志愿服务活动、 传统节日文化活动等形式多样全民阅读活动及文化活动。 </w:t>
      </w:r>
    </w:p>
    <w:p>
      <w:pPr>
        <w:pStyle w:val="12"/>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文艺演出活动进乡村促振兴。以铸牢中华民族共同体 意识为主线，扎实开展文艺活动，引导各族群众听党话、跟党走、 感党恩。</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636.47万元，预算数（调整后）784.89万元，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737.77万元，执行率94%。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50.8万元，预算数（调整后）91.17万元，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79.23万元，执行率86.9%。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1203.05万元，预算数（调整后）1233.95万元，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1233.95万元，执行率100%。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176.06万元，预算数（调整后）0万元，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文化体育广播电视和旅游局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1218.13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1193.12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25.01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1218.13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文化体育广播电视和旅游局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15.82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15.82</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15.82</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15.82</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21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876.06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817</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93.26</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文化体育广播电视和旅游局</w:t>
      </w:r>
      <w:r>
        <w:rPr>
          <w:rFonts w:hint="eastAsia" w:hAnsi="方正楷体简体"/>
          <w:color w:val="auto"/>
          <w:highlight w:val="none"/>
        </w:rPr>
        <w:t>项目支出共涉及</w:t>
      </w:r>
      <w:r>
        <w:rPr>
          <w:rFonts w:hint="eastAsia" w:hAnsi="方正楷体简体"/>
          <w:color w:val="auto"/>
          <w:highlight w:val="none"/>
          <w:lang w:val="en-US" w:eastAsia="zh-CN"/>
        </w:rPr>
        <w:t>22个</w:t>
      </w:r>
      <w:r>
        <w:rPr>
          <w:rFonts w:hint="eastAsia" w:hAnsi="方正楷体简体"/>
          <w:color w:val="auto"/>
          <w:highlight w:val="none"/>
        </w:rPr>
        <w:t>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333333"/>
                <w:kern w:val="0"/>
                <w:sz w:val="20"/>
                <w:szCs w:val="20"/>
                <w:u w:val="none"/>
                <w:lang w:val="en-US" w:eastAsia="zh-CN" w:bidi="ar"/>
              </w:rPr>
              <w:t>2023年中央专项彩票公益金支持地方社会公益事业发展（体育健身）资金</w:t>
            </w:r>
          </w:p>
        </w:tc>
        <w:tc>
          <w:tcPr>
            <w:tcW w:w="2525" w:type="dxa"/>
            <w:vAlign w:val="bottom"/>
          </w:tcPr>
          <w:p>
            <w:pPr>
              <w:keepNext w:val="0"/>
              <w:keepLines w:val="0"/>
              <w:widowControl/>
              <w:suppressLineNumbers w:val="0"/>
              <w:jc w:val="center"/>
              <w:textAlignment w:val="bottom"/>
              <w:rPr>
                <w:rFonts w:hint="default" w:ascii="宋体" w:hAnsi="宋体" w:eastAsia="宋体" w:cs="宋体"/>
                <w:i w:val="0"/>
                <w:color w:val="000000"/>
                <w:kern w:val="0"/>
                <w:sz w:val="22"/>
                <w:szCs w:val="22"/>
                <w:u w:val="none"/>
                <w:lang w:val="en-US" w:eastAsia="zh-CN" w:bidi="ar"/>
              </w:rPr>
            </w:pPr>
            <w:r>
              <w:rPr>
                <w:rFonts w:hint="default" w:ascii="Arial" w:hAnsi="Arial" w:eastAsia="宋体" w:cs="Arial"/>
                <w:i w:val="0"/>
                <w:color w:val="000000"/>
                <w:kern w:val="0"/>
                <w:sz w:val="20"/>
                <w:szCs w:val="20"/>
                <w:u w:val="none"/>
                <w:lang w:val="en-US" w:eastAsia="zh-CN" w:bidi="ar"/>
              </w:rPr>
              <w:t>300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2023年中央补助地方公共体育场馆向社会免费或低收费开放补助资金</w:t>
            </w:r>
          </w:p>
        </w:tc>
        <w:tc>
          <w:tcPr>
            <w:tcW w:w="2525" w:type="dxa"/>
            <w:vAlign w:val="bottom"/>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default" w:ascii="Arial" w:hAnsi="Arial" w:eastAsia="宋体" w:cs="Arial"/>
                <w:i w:val="0"/>
                <w:color w:val="000000"/>
                <w:kern w:val="0"/>
                <w:sz w:val="20"/>
                <w:szCs w:val="20"/>
                <w:u w:val="none"/>
                <w:lang w:val="en-US" w:eastAsia="zh-CN" w:bidi="ar"/>
              </w:rPr>
              <w:t>33</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rPr>
          <w:trHeight w:val="90"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2023年中央美术馆、公共图书馆、文化馆[站]免费开放补助资金</w:t>
            </w:r>
          </w:p>
        </w:tc>
        <w:tc>
          <w:tcPr>
            <w:tcW w:w="2525"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top"/>
          </w:tcPr>
          <w:p>
            <w:pPr>
              <w:keepNext w:val="0"/>
              <w:keepLines w:val="0"/>
              <w:widowControl/>
              <w:suppressLineNumbers w:val="0"/>
              <w:jc w:val="left"/>
              <w:textAlignment w:val="top"/>
              <w:rPr>
                <w:rFonts w:hint="eastAsia" w:ascii="仿宋_GB2312" w:hAnsi="仿宋" w:eastAsia="仿宋_GB2312" w:cs="宋体"/>
                <w:color w:val="auto"/>
                <w:sz w:val="32"/>
                <w:szCs w:val="32"/>
                <w:highlight w:val="none"/>
              </w:rPr>
            </w:pPr>
            <w:r>
              <w:rPr>
                <w:rStyle w:val="14"/>
                <w:lang w:val="en-US" w:eastAsia="zh-CN" w:bidi="ar"/>
              </w:rPr>
              <w:t>中央支持地方公共文化服务体系建设补助资金和地财教</w:t>
            </w:r>
            <w:r>
              <w:rPr>
                <w:rStyle w:val="15"/>
                <w:rFonts w:eastAsia="宋体"/>
                <w:lang w:val="en-US" w:eastAsia="zh-CN" w:bidi="ar"/>
              </w:rPr>
              <w:t>[2022]92</w:t>
            </w:r>
            <w:r>
              <w:rPr>
                <w:rStyle w:val="14"/>
                <w:lang w:val="en-US" w:eastAsia="zh-CN" w:bidi="ar"/>
              </w:rPr>
              <w:t>号</w:t>
            </w:r>
          </w:p>
        </w:tc>
        <w:tc>
          <w:tcPr>
            <w:tcW w:w="2525" w:type="dxa"/>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176.7</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中央支持地方公共文化服务体系建设补助资金[2022年公共文化云建设资金]</w:t>
            </w:r>
          </w:p>
        </w:tc>
        <w:tc>
          <w:tcPr>
            <w:tcW w:w="2525" w:type="dxa"/>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rPr>
          <w:trHeight w:val="365"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2022年中央补助地方公共文化服务体系建设补助资金</w:t>
            </w:r>
          </w:p>
        </w:tc>
        <w:tc>
          <w:tcPr>
            <w:tcW w:w="2525" w:type="dxa"/>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0.81</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0"/>
                <w:szCs w:val="20"/>
                <w:u w:val="none"/>
                <w:lang w:val="en-US" w:eastAsia="zh-CN" w:bidi="ar"/>
              </w:rPr>
              <w:t>2022年度博物馆免费开放资金</w:t>
            </w:r>
          </w:p>
        </w:tc>
        <w:tc>
          <w:tcPr>
            <w:tcW w:w="2525" w:type="dxa"/>
            <w:vAlign w:val="center"/>
          </w:tcPr>
          <w:p>
            <w:pPr>
              <w:keepNext w:val="0"/>
              <w:keepLines w:val="0"/>
              <w:widowControl/>
              <w:suppressLineNumbers w:val="0"/>
              <w:jc w:val="center"/>
              <w:textAlignment w:val="center"/>
              <w:rPr>
                <w:rFonts w:hint="default"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18.49</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2022年文化人才专项经费</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0.79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2023年中央补助地方博物馆纪念馆逐步免费开放补助资金</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2023年文化人才专项经费</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2023年公共体育场馆向社会免费开放资金（第二期）</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2023年中央支持地方公共文化服务体系建设补助资金（公共文化云建设）</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2023年中央支持地方公共文化服务体系建设补助资金</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戏曲进乡村）</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17.5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2023年尼雅湾旅游区环境提升建设项目资金</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103.6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2023年自治区非物质文化遗产保护资金</w:t>
            </w:r>
          </w:p>
        </w:tc>
        <w:tc>
          <w:tcPr>
            <w:tcW w:w="2525" w:type="dxa"/>
            <w:vAlign w:val="bottom"/>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default" w:ascii="Arial" w:hAnsi="Arial" w:eastAsia="宋体" w:cs="Arial"/>
                <w:i w:val="0"/>
                <w:color w:val="000000"/>
                <w:kern w:val="0"/>
                <w:sz w:val="20"/>
                <w:szCs w:val="20"/>
                <w:u w:val="none"/>
                <w:lang w:val="en-US" w:eastAsia="zh-CN" w:bidi="ar"/>
              </w:rPr>
              <w:t>10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民丰县2022年自治区文艺扶持激励资金</w:t>
            </w:r>
          </w:p>
        </w:tc>
        <w:tc>
          <w:tcPr>
            <w:tcW w:w="2525" w:type="dxa"/>
            <w:vAlign w:val="center"/>
          </w:tcPr>
          <w:p>
            <w:pPr>
              <w:keepNext w:val="0"/>
              <w:keepLines w:val="0"/>
              <w:widowControl/>
              <w:suppressLineNumbers w:val="0"/>
              <w:jc w:val="center"/>
              <w:textAlignment w:val="bottom"/>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33</w:t>
            </w:r>
          </w:p>
        </w:tc>
        <w:tc>
          <w:tcPr>
            <w:tcW w:w="2783" w:type="dxa"/>
            <w:vAlign w:val="center"/>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2023年自治区美术馆、公共图书馆、文化馆[站]免费开放补助资金</w:t>
            </w:r>
          </w:p>
        </w:tc>
        <w:tc>
          <w:tcPr>
            <w:tcW w:w="2525" w:type="dxa"/>
            <w:vAlign w:val="bottom"/>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default" w:ascii="Arial" w:hAnsi="Arial" w:eastAsia="宋体" w:cs="Arial"/>
                <w:i w:val="0"/>
                <w:color w:val="000000"/>
                <w:kern w:val="0"/>
                <w:sz w:val="20"/>
                <w:szCs w:val="20"/>
                <w:u w:val="none"/>
                <w:lang w:val="en-US" w:eastAsia="zh-CN" w:bidi="ar"/>
              </w:rPr>
              <w:t>15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2023年文物保护单位看护人员专项补助资金</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16.8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Style w:val="16"/>
                <w:rFonts w:eastAsia="宋体"/>
                <w:lang w:val="en-US" w:eastAsia="zh-CN" w:bidi="ar"/>
              </w:rPr>
              <w:t>2023</w:t>
            </w:r>
            <w:r>
              <w:rPr>
                <w:rStyle w:val="14"/>
                <w:lang w:val="en-US" w:eastAsia="zh-CN" w:bidi="ar"/>
              </w:rPr>
              <w:t>年自治区公共体育场馆向社会免费或低收费开放补助资金项目</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2022年访惠聚工作经费</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0.37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2023年访惠聚工作经费</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民丰县公共体育场田径跑道和足球场建设项目资金</w:t>
            </w:r>
          </w:p>
        </w:tc>
        <w:tc>
          <w:tcPr>
            <w:tcW w:w="25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15.82</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文化体育广播电视和旅游局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1218.13</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1193.12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25.01</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1218.13</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876.06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817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93.84</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21个</w:t>
      </w:r>
      <w:r>
        <w:rPr>
          <w:rFonts w:hint="eastAsia" w:ascii="仿宋_GB2312" w:hAnsi="方正楷体简体" w:eastAsia="仿宋_GB2312" w:cs="宋体"/>
          <w:color w:val="auto"/>
          <w:sz w:val="32"/>
          <w:szCs w:val="32"/>
          <w:highlight w:val="none"/>
        </w:rPr>
        <w:t>专项资金项目，其中已完成项目</w:t>
      </w:r>
      <w:r>
        <w:rPr>
          <w:rFonts w:hint="eastAsia" w:ascii="仿宋_GB2312" w:hAnsi="方正楷体简体" w:eastAsia="仿宋_GB2312" w:cs="宋体"/>
          <w:color w:val="auto"/>
          <w:sz w:val="32"/>
          <w:szCs w:val="32"/>
          <w:highlight w:val="none"/>
          <w:lang w:val="en-US" w:eastAsia="zh-CN"/>
        </w:rPr>
        <w:t>7</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14</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eastAsia" w:ascii="宋体" w:hAnsi="宋体" w:eastAsia="宋体" w:cs="宋体"/>
                <w:i w:val="0"/>
                <w:color w:val="333333"/>
                <w:kern w:val="0"/>
                <w:sz w:val="20"/>
                <w:szCs w:val="20"/>
                <w:u w:val="none"/>
                <w:lang w:val="en-US" w:eastAsia="zh-CN" w:bidi="ar"/>
              </w:rPr>
              <w:t>2023年中央专项彩票公益金支持地方社会公益事业发展（体育健身）资金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default" w:ascii="仿宋_GB2312" w:hAnsi="仿宋" w:eastAsia="仿宋_GB2312" w:cs="宋体"/>
                <w:color w:val="auto"/>
                <w:kern w:val="0"/>
                <w:sz w:val="32"/>
                <w:szCs w:val="32"/>
                <w:highlight w:val="none"/>
                <w:lang w:val="en-US"/>
              </w:rPr>
            </w:pPr>
            <w:r>
              <w:rPr>
                <w:rFonts w:hint="default" w:ascii="Arial" w:hAnsi="Arial" w:eastAsia="宋体" w:cs="Arial"/>
                <w:i w:val="0"/>
                <w:color w:val="000000"/>
                <w:kern w:val="0"/>
                <w:sz w:val="20"/>
                <w:szCs w:val="20"/>
                <w:u w:val="none"/>
                <w:lang w:val="en-US" w:eastAsia="zh-CN" w:bidi="ar"/>
              </w:rPr>
              <w:t>300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default" w:ascii="仿宋_GB2312" w:hAnsi="仿宋" w:eastAsia="仿宋_GB2312" w:cs="宋体"/>
                <w:color w:val="auto"/>
                <w:kern w:val="0"/>
                <w:sz w:val="32"/>
                <w:szCs w:val="32"/>
                <w:highlight w:val="none"/>
                <w:lang w:val="en-US"/>
              </w:rPr>
            </w:pPr>
            <w:r>
              <w:rPr>
                <w:rFonts w:hint="default" w:ascii="Arial" w:hAnsi="Arial" w:eastAsia="宋体" w:cs="Arial"/>
                <w:i w:val="0"/>
                <w:color w:val="000000"/>
                <w:kern w:val="0"/>
                <w:sz w:val="20"/>
                <w:szCs w:val="20"/>
                <w:u w:val="none"/>
                <w:lang w:val="en-US" w:eastAsia="zh-CN" w:bidi="ar"/>
              </w:rPr>
              <w:t>281.17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93.72%</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2023年中央补助地方公共体育场馆向社会免费或低收费开放补助资金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eastAsia" w:ascii="宋体" w:hAnsi="宋体" w:cs="宋体"/>
                <w:i w:val="0"/>
                <w:color w:val="auto"/>
                <w:kern w:val="0"/>
                <w:sz w:val="22"/>
                <w:szCs w:val="22"/>
                <w:highlight w:val="none"/>
                <w:u w:val="none"/>
                <w:lang w:val="en-US" w:eastAsia="zh-CN" w:bidi="ar"/>
              </w:rPr>
            </w:pPr>
            <w:r>
              <w:rPr>
                <w:rFonts w:hint="default" w:ascii="Arial" w:hAnsi="Arial" w:eastAsia="宋体" w:cs="Arial"/>
                <w:i w:val="0"/>
                <w:color w:val="000000"/>
                <w:kern w:val="0"/>
                <w:sz w:val="20"/>
                <w:szCs w:val="20"/>
                <w:u w:val="none"/>
                <w:lang w:val="en-US" w:eastAsia="zh-CN" w:bidi="ar"/>
              </w:rPr>
              <w:t>33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eastAsia" w:ascii="宋体" w:hAnsi="宋体" w:cs="宋体"/>
                <w:i w:val="0"/>
                <w:color w:val="auto"/>
                <w:kern w:val="0"/>
                <w:sz w:val="22"/>
                <w:szCs w:val="22"/>
                <w:highlight w:val="none"/>
                <w:u w:val="none"/>
                <w:lang w:val="en-US" w:eastAsia="zh-CN" w:bidi="ar"/>
              </w:rPr>
            </w:pPr>
            <w:r>
              <w:rPr>
                <w:rFonts w:hint="default" w:ascii="Arial" w:hAnsi="Arial" w:eastAsia="宋体" w:cs="Arial"/>
                <w:i w:val="0"/>
                <w:color w:val="000000"/>
                <w:kern w:val="0"/>
                <w:sz w:val="20"/>
                <w:szCs w:val="20"/>
                <w:u w:val="none"/>
                <w:lang w:val="en-US" w:eastAsia="zh-CN" w:bidi="ar"/>
              </w:rPr>
              <w:t>32.49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98.45%</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2023年中央美术馆、公共图书馆、文化馆[站]免费开放补助资金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60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59.52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99.2%</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auto"/>
                <w:kern w:val="0"/>
                <w:sz w:val="22"/>
                <w:szCs w:val="22"/>
                <w:highlight w:val="none"/>
                <w:u w:val="none"/>
                <w:lang w:val="en-US" w:eastAsia="zh-CN" w:bidi="ar"/>
              </w:rPr>
            </w:pPr>
            <w:r>
              <w:rPr>
                <w:rStyle w:val="14"/>
                <w:lang w:val="en-US" w:eastAsia="zh-CN" w:bidi="ar"/>
              </w:rPr>
              <w:t>中央支持地方公共文化服务体系建设补助资金和地财教</w:t>
            </w:r>
            <w:r>
              <w:rPr>
                <w:rStyle w:val="15"/>
                <w:rFonts w:eastAsia="宋体"/>
                <w:lang w:val="en-US" w:eastAsia="zh-CN" w:bidi="ar"/>
              </w:rPr>
              <w:t>[2022]92</w:t>
            </w:r>
            <w:r>
              <w:rPr>
                <w:rStyle w:val="14"/>
                <w:lang w:val="en-US" w:eastAsia="zh-CN" w:bidi="ar"/>
              </w:rPr>
              <w:t>号</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176.7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153.4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86.81%</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中央支持地方公共文化服务体系建设补助资金[2022年公共文化云建设资金]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19.95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99.75%</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2022年中央补助地方公共文化服务体系建设补助资金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0.81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0.81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2022年度博物馆免费开放资金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18.49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18.49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2022年文化人才专项经费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0.79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0.79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2023年中央补助地方博物馆纪念馆逐步免费开放补助资金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24.92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2023年文化人才专项经费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2.45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40.83%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2023年公共体育场馆向社会免费开放资金（第二期）</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2.82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94%</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2023年中央支持地方公共文化服务体系建设补助资金（公共文化云建设）</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2023年中央支持地方公共文化服务体系建设补助资金</w:t>
            </w:r>
            <w:r>
              <w:rPr>
                <w:rFonts w:hint="eastAsia" w:ascii="宋体" w:hAnsi="宋体" w:cs="宋体"/>
                <w:i w:val="0"/>
                <w:color w:val="000000"/>
                <w:kern w:val="0"/>
                <w:sz w:val="20"/>
                <w:szCs w:val="20"/>
                <w:u w:val="none"/>
                <w:lang w:val="en-US" w:eastAsia="zh-CN" w:bidi="ar"/>
              </w:rPr>
              <w:t>（</w:t>
            </w:r>
            <w:r>
              <w:rPr>
                <w:rFonts w:hint="eastAsia" w:ascii="宋体" w:hAnsi="宋体" w:eastAsia="宋体" w:cs="宋体"/>
                <w:i w:val="0"/>
                <w:color w:val="000000"/>
                <w:kern w:val="0"/>
                <w:sz w:val="20"/>
                <w:szCs w:val="20"/>
                <w:u w:val="none"/>
                <w:lang w:val="en-US" w:eastAsia="zh-CN" w:bidi="ar"/>
              </w:rPr>
              <w:t>戏曲进乡村）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17.5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17.5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2023年尼雅湾旅游区环境提升建设项目资金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103.6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103.46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99.86%</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2023年自治区非物质文化遗产保护资金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default" w:ascii="Arial" w:hAnsi="Arial" w:eastAsia="宋体" w:cs="Arial"/>
                <w:i w:val="0"/>
                <w:color w:val="000000"/>
                <w:kern w:val="0"/>
                <w:sz w:val="20"/>
                <w:szCs w:val="20"/>
                <w:u w:val="none"/>
                <w:lang w:val="en-US" w:eastAsia="zh-CN" w:bidi="ar"/>
              </w:rPr>
              <w:t>10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default" w:ascii="Arial" w:hAnsi="Arial" w:eastAsia="宋体" w:cs="Arial"/>
                <w:i w:val="0"/>
                <w:color w:val="000000"/>
                <w:kern w:val="0"/>
                <w:sz w:val="20"/>
                <w:szCs w:val="20"/>
                <w:u w:val="none"/>
                <w:lang w:val="en-US" w:eastAsia="zh-CN" w:bidi="ar"/>
              </w:rPr>
              <w:t>9.92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99.2%</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民丰县2022年自治区文艺扶持激励资金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bottom"/>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default" w:ascii="Arial" w:hAnsi="Arial" w:eastAsia="宋体" w:cs="Arial"/>
                <w:i w:val="0"/>
                <w:color w:val="000000"/>
                <w:kern w:val="0"/>
                <w:sz w:val="20"/>
                <w:szCs w:val="20"/>
                <w:u w:val="none"/>
                <w:lang w:val="en-US" w:eastAsia="zh-CN" w:bidi="ar"/>
              </w:rPr>
              <w:t>23.96</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72.6%</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2023年自治区美术馆、公共图书馆、文化馆[站]免费开放补助资金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default" w:ascii="Arial" w:hAnsi="Arial" w:eastAsia="宋体" w:cs="Arial"/>
                <w:i w:val="0"/>
                <w:color w:val="000000"/>
                <w:kern w:val="0"/>
                <w:sz w:val="20"/>
                <w:szCs w:val="20"/>
                <w:u w:val="none"/>
                <w:lang w:val="en-US" w:eastAsia="zh-CN" w:bidi="ar"/>
              </w:rPr>
              <w:t>15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15</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2023年文物保护单位看护人员专项补助资金</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16.8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15.2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90.48%</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Style w:val="16"/>
                <w:rFonts w:eastAsia="宋体"/>
                <w:lang w:val="en-US" w:eastAsia="zh-CN" w:bidi="ar"/>
              </w:rPr>
              <w:t>2023</w:t>
            </w:r>
            <w:r>
              <w:rPr>
                <w:rStyle w:val="14"/>
                <w:lang w:val="en-US" w:eastAsia="zh-CN" w:bidi="ar"/>
              </w:rPr>
              <w:t>年自治区公共体育场馆向社会免费或低收费开放补助资金项目</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8.79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97.67%</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2022年访惠聚工作经费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0.37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0.22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59.46%</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2023年访惠聚工作经费</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6.14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87.71%</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876.06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817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eastAsia="宋体" w:cs="宋体"/>
                <w:i w:val="0"/>
                <w:color w:val="000000"/>
                <w:kern w:val="0"/>
                <w:sz w:val="22"/>
                <w:szCs w:val="22"/>
                <w:u w:val="none"/>
                <w:lang w:val="en-US" w:eastAsia="zh-CN" w:bidi="ar"/>
              </w:rPr>
              <w:t>93.84%</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default"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（一）指标一：戏曲进乡村文艺演出场次数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戏曲进乡村文艺演出场次数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大于等于100场次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53场次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本次评价实际完成值是180场次，</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（二）指标二：三馆一站免费开放数量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三馆一站免费开放数量，预期指标是</w:t>
      </w:r>
      <w:r>
        <w:rPr>
          <w:rFonts w:hint="eastAsia" w:ascii="仿宋_GB2312" w:hAnsi="仿宋" w:eastAsia="仿宋_GB2312"/>
          <w:color w:val="auto"/>
          <w:sz w:val="32"/>
          <w:szCs w:val="32"/>
          <w:highlight w:val="none"/>
          <w:lang w:val="en-US" w:eastAsia="zh-CN"/>
        </w:rPr>
        <w:t>大于等于9个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（三）指标三：图书馆开展全民阅读推广活动次数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图书馆开展全民阅读推广活动次数，预期指标是</w:t>
      </w:r>
      <w:r>
        <w:rPr>
          <w:rFonts w:hint="eastAsia" w:ascii="仿宋_GB2312" w:hAnsi="仿宋" w:eastAsia="仿宋_GB2312"/>
          <w:color w:val="auto"/>
          <w:sz w:val="32"/>
          <w:szCs w:val="32"/>
          <w:highlight w:val="none"/>
          <w:lang w:val="en-US" w:eastAsia="zh-CN"/>
        </w:rPr>
        <w:t>大于等于10次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5次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11次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（四）指标四：开展各类体育活动场次数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开展各类体育活动场次数，预期指标是</w:t>
      </w:r>
      <w:r>
        <w:rPr>
          <w:rFonts w:hint="eastAsia" w:ascii="仿宋_GB2312" w:hAnsi="仿宋" w:eastAsia="仿宋_GB2312"/>
          <w:color w:val="auto"/>
          <w:sz w:val="32"/>
          <w:szCs w:val="32"/>
          <w:highlight w:val="none"/>
          <w:lang w:val="en-US" w:eastAsia="zh-CN"/>
        </w:rPr>
        <w:t>大于等于40场次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21场次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本次评价实际完成值是41场次，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（五）指标五：文化市场全年稽查管理对象数量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文化市场全年稽查管理对象数量，预期指标是</w:t>
      </w:r>
      <w:r>
        <w:rPr>
          <w:rFonts w:hint="eastAsia" w:ascii="仿宋_GB2312" w:hAnsi="仿宋" w:eastAsia="仿宋_GB2312"/>
          <w:color w:val="auto"/>
          <w:sz w:val="32"/>
          <w:szCs w:val="32"/>
          <w:highlight w:val="none"/>
          <w:lang w:val="en-US" w:eastAsia="zh-CN"/>
        </w:rPr>
        <w:t>大于等于16个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16个</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16个</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2023年度部门整体支出绩效自评综合得分99.72分，评价结果为“优”。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264114"/>
    <w:rsid w:val="0145189C"/>
    <w:rsid w:val="020B07BA"/>
    <w:rsid w:val="0232420A"/>
    <w:rsid w:val="02656D15"/>
    <w:rsid w:val="02D53963"/>
    <w:rsid w:val="033D0BD9"/>
    <w:rsid w:val="041C0868"/>
    <w:rsid w:val="04506513"/>
    <w:rsid w:val="04C325F4"/>
    <w:rsid w:val="053C376F"/>
    <w:rsid w:val="056B2C09"/>
    <w:rsid w:val="059E4F1D"/>
    <w:rsid w:val="05CB6613"/>
    <w:rsid w:val="065340BF"/>
    <w:rsid w:val="06696209"/>
    <w:rsid w:val="0883680C"/>
    <w:rsid w:val="08CC471F"/>
    <w:rsid w:val="0AC65524"/>
    <w:rsid w:val="0B6F48AA"/>
    <w:rsid w:val="0BC64CF0"/>
    <w:rsid w:val="0C1013EF"/>
    <w:rsid w:val="0D1922F1"/>
    <w:rsid w:val="0D9F0DF1"/>
    <w:rsid w:val="0E325CFD"/>
    <w:rsid w:val="0E6E4ABB"/>
    <w:rsid w:val="0E737D65"/>
    <w:rsid w:val="0F7479C3"/>
    <w:rsid w:val="10DF6E84"/>
    <w:rsid w:val="127423D4"/>
    <w:rsid w:val="12D07449"/>
    <w:rsid w:val="13BD0265"/>
    <w:rsid w:val="13C71FBF"/>
    <w:rsid w:val="1438599A"/>
    <w:rsid w:val="148B2C7B"/>
    <w:rsid w:val="14F27B7B"/>
    <w:rsid w:val="15190DF9"/>
    <w:rsid w:val="16F94A67"/>
    <w:rsid w:val="189E58C4"/>
    <w:rsid w:val="197406AD"/>
    <w:rsid w:val="19F6744F"/>
    <w:rsid w:val="19FE0A5D"/>
    <w:rsid w:val="1C2C07FE"/>
    <w:rsid w:val="1D073223"/>
    <w:rsid w:val="1D95187B"/>
    <w:rsid w:val="1E66234A"/>
    <w:rsid w:val="1FBB36D6"/>
    <w:rsid w:val="200F4073"/>
    <w:rsid w:val="229016F2"/>
    <w:rsid w:val="234B1673"/>
    <w:rsid w:val="236F5373"/>
    <w:rsid w:val="23820713"/>
    <w:rsid w:val="24B86128"/>
    <w:rsid w:val="261860EB"/>
    <w:rsid w:val="27FB2943"/>
    <w:rsid w:val="284165B5"/>
    <w:rsid w:val="28F109D1"/>
    <w:rsid w:val="28F667CC"/>
    <w:rsid w:val="291F3644"/>
    <w:rsid w:val="2AF77D81"/>
    <w:rsid w:val="2B043BBD"/>
    <w:rsid w:val="2B4341EB"/>
    <w:rsid w:val="2C5B0CCA"/>
    <w:rsid w:val="2D436320"/>
    <w:rsid w:val="2D6A2DFD"/>
    <w:rsid w:val="2DE92A48"/>
    <w:rsid w:val="2E913C19"/>
    <w:rsid w:val="2EE7129F"/>
    <w:rsid w:val="2EF80FF5"/>
    <w:rsid w:val="30521277"/>
    <w:rsid w:val="307179D7"/>
    <w:rsid w:val="30A967BD"/>
    <w:rsid w:val="30BA7F91"/>
    <w:rsid w:val="30C71428"/>
    <w:rsid w:val="31153648"/>
    <w:rsid w:val="311D1738"/>
    <w:rsid w:val="31994C65"/>
    <w:rsid w:val="32650FE8"/>
    <w:rsid w:val="32F63DCB"/>
    <w:rsid w:val="33D53037"/>
    <w:rsid w:val="35021ABB"/>
    <w:rsid w:val="350E12DF"/>
    <w:rsid w:val="35274E80"/>
    <w:rsid w:val="35446943"/>
    <w:rsid w:val="361E2E4B"/>
    <w:rsid w:val="37213B34"/>
    <w:rsid w:val="372733FD"/>
    <w:rsid w:val="37371439"/>
    <w:rsid w:val="38A61EBD"/>
    <w:rsid w:val="3A145058"/>
    <w:rsid w:val="3ABA302D"/>
    <w:rsid w:val="3BBF2075"/>
    <w:rsid w:val="3DF04555"/>
    <w:rsid w:val="3F267C21"/>
    <w:rsid w:val="3FD249C9"/>
    <w:rsid w:val="3FD35BB0"/>
    <w:rsid w:val="4008497A"/>
    <w:rsid w:val="41D16217"/>
    <w:rsid w:val="41FB2085"/>
    <w:rsid w:val="433C35D6"/>
    <w:rsid w:val="433F06A1"/>
    <w:rsid w:val="43925232"/>
    <w:rsid w:val="44081B00"/>
    <w:rsid w:val="44202481"/>
    <w:rsid w:val="455525A3"/>
    <w:rsid w:val="46E706D9"/>
    <w:rsid w:val="4A51010F"/>
    <w:rsid w:val="4CDE3361"/>
    <w:rsid w:val="4CE26E4A"/>
    <w:rsid w:val="4D5352D2"/>
    <w:rsid w:val="4EC92350"/>
    <w:rsid w:val="4ED267AD"/>
    <w:rsid w:val="4EE93236"/>
    <w:rsid w:val="4F245112"/>
    <w:rsid w:val="50966E31"/>
    <w:rsid w:val="51C70EA9"/>
    <w:rsid w:val="51EC08C3"/>
    <w:rsid w:val="52A04256"/>
    <w:rsid w:val="52DD0612"/>
    <w:rsid w:val="53B535AD"/>
    <w:rsid w:val="54942087"/>
    <w:rsid w:val="54F842B6"/>
    <w:rsid w:val="54FC61C8"/>
    <w:rsid w:val="55525A1B"/>
    <w:rsid w:val="561D1A23"/>
    <w:rsid w:val="58CB188F"/>
    <w:rsid w:val="58FB7FD2"/>
    <w:rsid w:val="591E19AE"/>
    <w:rsid w:val="59315140"/>
    <w:rsid w:val="5B9757C7"/>
    <w:rsid w:val="5BD87229"/>
    <w:rsid w:val="5D5649A4"/>
    <w:rsid w:val="5DAA22FE"/>
    <w:rsid w:val="5EB12FFC"/>
    <w:rsid w:val="5F1B394B"/>
    <w:rsid w:val="5FCF4505"/>
    <w:rsid w:val="60810646"/>
    <w:rsid w:val="60A001E1"/>
    <w:rsid w:val="61533F93"/>
    <w:rsid w:val="61883CD3"/>
    <w:rsid w:val="631E50AA"/>
    <w:rsid w:val="63667F05"/>
    <w:rsid w:val="64F5745B"/>
    <w:rsid w:val="656071F2"/>
    <w:rsid w:val="668A5953"/>
    <w:rsid w:val="670033BF"/>
    <w:rsid w:val="67163E36"/>
    <w:rsid w:val="67A46ABB"/>
    <w:rsid w:val="67A760D9"/>
    <w:rsid w:val="67D81671"/>
    <w:rsid w:val="67E414E8"/>
    <w:rsid w:val="697650C9"/>
    <w:rsid w:val="6BF1756B"/>
    <w:rsid w:val="6D2B4E93"/>
    <w:rsid w:val="6ECC0499"/>
    <w:rsid w:val="6F5E1AA3"/>
    <w:rsid w:val="6FC63036"/>
    <w:rsid w:val="709519DA"/>
    <w:rsid w:val="70AD31F0"/>
    <w:rsid w:val="71A34332"/>
    <w:rsid w:val="75E10FF1"/>
    <w:rsid w:val="76434FBA"/>
    <w:rsid w:val="769A4E05"/>
    <w:rsid w:val="769F54BB"/>
    <w:rsid w:val="77474604"/>
    <w:rsid w:val="78846DB5"/>
    <w:rsid w:val="7B5A04B1"/>
    <w:rsid w:val="7C5764FD"/>
    <w:rsid w:val="7F200B83"/>
    <w:rsid w:val="7F5D585A"/>
    <w:rsid w:val="BEBFC51B"/>
    <w:rsid w:val="D91FC513"/>
    <w:rsid w:val="EFE63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21"/>
    <w:basedOn w:val="8"/>
    <w:uiPriority w:val="0"/>
    <w:rPr>
      <w:rFonts w:hint="eastAsia" w:ascii="宋体" w:hAnsi="宋体" w:eastAsia="宋体" w:cs="宋体"/>
      <w:color w:val="000000"/>
      <w:sz w:val="20"/>
      <w:szCs w:val="20"/>
      <w:u w:val="none"/>
    </w:rPr>
  </w:style>
  <w:style w:type="character" w:customStyle="1" w:styleId="15">
    <w:name w:val="font01"/>
    <w:basedOn w:val="8"/>
    <w:uiPriority w:val="0"/>
    <w:rPr>
      <w:rFonts w:ascii="Calibri" w:hAnsi="Calibri" w:cs="Calibri"/>
      <w:color w:val="000000"/>
      <w:sz w:val="20"/>
      <w:szCs w:val="20"/>
      <w:u w:val="none"/>
    </w:rPr>
  </w:style>
  <w:style w:type="character" w:customStyle="1" w:styleId="16">
    <w:name w:val="font11"/>
    <w:basedOn w:val="8"/>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57</Words>
  <Characters>328</Characters>
  <Lines>2</Lines>
  <Paragraphs>1</Paragraphs>
  <TotalTime>180</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2024-10-11T19:41:57Z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