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lang w:val="en-US" w:eastAsia="zh-CN"/>
        </w:rPr>
        <w:t>民丰县妇女联合委员会</w:t>
      </w:r>
      <w:r>
        <w:rPr>
          <w:rFonts w:hint="eastAsia" w:ascii="方正小标宋_GBK" w:hAnsi="华文中宋" w:eastAsia="方正小标宋_GBK" w:cs="宋体"/>
          <w:b/>
          <w:color w:val="auto"/>
          <w:kern w:val="0"/>
          <w:sz w:val="48"/>
          <w:szCs w:val="48"/>
          <w:highlight w:val="none"/>
        </w:rPr>
        <w:t>整体支出绩效</w:t>
      </w: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rPr>
        <w:t>自评报告</w:t>
      </w:r>
    </w:p>
    <w:p>
      <w:pPr>
        <w:spacing w:line="540" w:lineRule="exact"/>
        <w:jc w:val="center"/>
        <w:rPr>
          <w:rFonts w:ascii="华文中宋" w:hAnsi="华文中宋" w:eastAsia="华文中宋" w:cs="宋体"/>
          <w:b/>
          <w:color w:val="auto"/>
          <w:kern w:val="0"/>
          <w:sz w:val="52"/>
          <w:szCs w:val="52"/>
          <w:highlight w:val="none"/>
        </w:rPr>
      </w:pPr>
    </w:p>
    <w:p>
      <w:pPr>
        <w:spacing w:line="540" w:lineRule="exact"/>
        <w:jc w:val="center"/>
        <w:rPr>
          <w:rFonts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w:t>
      </w:r>
      <w:r>
        <w:rPr>
          <w:rFonts w:hint="eastAsia" w:ascii="仿宋_GB2312" w:hAnsi="宋体" w:eastAsia="仿宋_GB2312"/>
          <w:b/>
          <w:bCs w:val="0"/>
          <w:color w:val="auto"/>
          <w:sz w:val="32"/>
          <w:szCs w:val="32"/>
          <w:highlight w:val="none"/>
        </w:rPr>
        <w:t>202</w:t>
      </w:r>
      <w:r>
        <w:rPr>
          <w:rFonts w:hint="eastAsia" w:ascii="仿宋_GB2312" w:hAnsi="宋体" w:eastAsia="仿宋_GB2312"/>
          <w:b/>
          <w:bCs w:val="0"/>
          <w:color w:val="auto"/>
          <w:sz w:val="32"/>
          <w:szCs w:val="32"/>
          <w:highlight w:val="none"/>
          <w:lang w:val="en-US" w:eastAsia="zh-CN"/>
        </w:rPr>
        <w:t>3</w:t>
      </w:r>
      <w:bookmarkStart w:id="1" w:name="_GoBack"/>
      <w:bookmarkEnd w:id="1"/>
      <w:r>
        <w:rPr>
          <w:rFonts w:hint="eastAsia" w:hAnsi="宋体" w:eastAsia="仿宋_GB2312" w:cs="宋体"/>
          <w:b/>
          <w:bCs w:val="0"/>
          <w:color w:val="auto"/>
          <w:kern w:val="0"/>
          <w:sz w:val="36"/>
          <w:szCs w:val="36"/>
          <w:highlight w:val="none"/>
        </w:rPr>
        <w:t>年度</w:t>
      </w:r>
      <w:r>
        <w:rPr>
          <w:rFonts w:hint="eastAsia" w:hAnsi="宋体" w:eastAsia="仿宋_GB2312" w:cs="宋体"/>
          <w:color w:val="auto"/>
          <w:kern w:val="0"/>
          <w:sz w:val="36"/>
          <w:szCs w:val="36"/>
          <w:highlight w:val="none"/>
        </w:rPr>
        <w:t>）</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540" w:lineRule="exact"/>
        <w:ind w:firstLine="720" w:firstLineChars="200"/>
        <w:rPr>
          <w:rFonts w:hint="eastAsia" w:hAnsi="宋体" w:eastAsia="仿宋_GB2312" w:cs="宋体"/>
          <w:color w:val="auto"/>
          <w:kern w:val="0"/>
          <w:sz w:val="36"/>
          <w:szCs w:val="36"/>
          <w:highlight w:val="none"/>
          <w:lang w:val="en-US" w:eastAsia="zh-CN"/>
        </w:rPr>
      </w:pPr>
      <w:r>
        <w:rPr>
          <w:rFonts w:hint="eastAsia" w:hAnsi="宋体" w:eastAsia="仿宋_GB2312" w:cs="宋体"/>
          <w:color w:val="auto"/>
          <w:kern w:val="0"/>
          <w:sz w:val="36"/>
          <w:szCs w:val="36"/>
          <w:highlight w:val="none"/>
          <w:lang w:val="en-US" w:eastAsia="zh-CN"/>
        </w:rPr>
        <w:t>部门单位名称（公章）：民丰县妇女联合委员会</w:t>
      </w:r>
    </w:p>
    <w:p>
      <w:pPr>
        <w:spacing w:line="540" w:lineRule="exact"/>
        <w:ind w:firstLine="720" w:firstLineChars="200"/>
        <w:rPr>
          <w:rFonts w:hint="eastAsia"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填报时间：2024年</w:t>
      </w:r>
      <w:r>
        <w:rPr>
          <w:rFonts w:hint="eastAsia" w:hAnsi="宋体" w:eastAsia="仿宋_GB2312" w:cs="宋体"/>
          <w:color w:val="auto"/>
          <w:kern w:val="0"/>
          <w:sz w:val="36"/>
          <w:szCs w:val="36"/>
          <w:highlight w:val="none"/>
          <w:lang w:val="en-US" w:eastAsia="zh-CN"/>
        </w:rPr>
        <w:t>5</w:t>
      </w:r>
      <w:r>
        <w:rPr>
          <w:rFonts w:hint="eastAsia" w:hAnsi="宋体" w:eastAsia="仿宋_GB2312" w:cs="宋体"/>
          <w:color w:val="auto"/>
          <w:kern w:val="0"/>
          <w:sz w:val="36"/>
          <w:szCs w:val="36"/>
          <w:highlight w:val="none"/>
        </w:rPr>
        <w:t>月</w:t>
      </w:r>
      <w:r>
        <w:rPr>
          <w:rFonts w:hint="eastAsia" w:hAnsi="宋体" w:eastAsia="仿宋_GB2312" w:cs="宋体"/>
          <w:color w:val="auto"/>
          <w:kern w:val="0"/>
          <w:sz w:val="36"/>
          <w:szCs w:val="36"/>
          <w:highlight w:val="none"/>
          <w:lang w:val="en-US" w:eastAsia="zh-CN"/>
        </w:rPr>
        <w:t>10</w:t>
      </w:r>
      <w:r>
        <w:rPr>
          <w:rFonts w:hint="eastAsia" w:hAnsi="宋体" w:eastAsia="仿宋_GB2312" w:cs="宋体"/>
          <w:color w:val="auto"/>
          <w:kern w:val="0"/>
          <w:sz w:val="36"/>
          <w:szCs w:val="36"/>
          <w:highlight w:val="none"/>
        </w:rPr>
        <w:t>日</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基本概况：</w:t>
      </w:r>
    </w:p>
    <w:p>
      <w:pPr>
        <w:spacing w:line="600" w:lineRule="exact"/>
        <w:ind w:firstLine="961" w:firstLineChars="300"/>
        <w:jc w:val="left"/>
        <w:rPr>
          <w:rFonts w:hint="eastAsia" w:ascii="Arial" w:hAnsi="Arial" w:cs="Arial"/>
          <w:b/>
          <w:bCs/>
          <w:color w:val="auto"/>
          <w:sz w:val="30"/>
          <w:szCs w:val="30"/>
          <w:highlight w:val="none"/>
        </w:rPr>
      </w:pPr>
      <w:r>
        <w:rPr>
          <w:rFonts w:hint="eastAsia" w:ascii="黑体" w:hAnsi="黑体" w:eastAsia="黑体" w:cs="宋体"/>
          <w:b/>
          <w:color w:val="auto"/>
          <w:sz w:val="32"/>
          <w:szCs w:val="32"/>
          <w:highlight w:val="none"/>
          <w:lang w:bidi="ar"/>
        </w:rPr>
        <w:t>（一）</w:t>
      </w:r>
      <w:r>
        <w:rPr>
          <w:rFonts w:ascii="黑体" w:hAnsi="黑体" w:eastAsia="黑体" w:cs="宋体"/>
          <w:b/>
          <w:color w:val="auto"/>
          <w:sz w:val="32"/>
          <w:szCs w:val="32"/>
          <w:highlight w:val="none"/>
          <w:lang w:bidi="ar"/>
        </w:rPr>
        <w:t>部门单位基本情况</w:t>
      </w:r>
      <w:r>
        <w:rPr>
          <w:rFonts w:hint="eastAsia" w:ascii="Arial" w:hAnsi="Arial" w:cs="Arial"/>
          <w:b/>
          <w:bCs/>
          <w:color w:val="auto"/>
          <w:sz w:val="30"/>
          <w:szCs w:val="30"/>
          <w:highlight w:val="none"/>
        </w:rPr>
        <w:t>：</w:t>
      </w:r>
    </w:p>
    <w:p>
      <w:pPr>
        <w:pStyle w:val="12"/>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 w:eastAsia="仿宋_GB2312" w:cs="Times New Roman"/>
          <w:b/>
          <w:bCs w:val="0"/>
          <w:color w:val="auto"/>
          <w:sz w:val="32"/>
          <w:szCs w:val="32"/>
          <w:highlight w:val="none"/>
        </w:rPr>
      </w:pPr>
      <w:bookmarkStart w:id="0" w:name="_Hlk43849111"/>
      <w:bookmarkEnd w:id="0"/>
      <w:r>
        <w:rPr>
          <w:rFonts w:hint="eastAsia" w:ascii="仿宋_GB2312" w:hAnsi="仿宋" w:eastAsia="仿宋_GB2312" w:cs="Times New Roman"/>
          <w:b/>
          <w:bCs w:val="0"/>
          <w:color w:val="auto"/>
          <w:sz w:val="32"/>
          <w:szCs w:val="32"/>
          <w:highlight w:val="none"/>
        </w:rPr>
        <w:t>1．</w:t>
      </w:r>
      <w:r>
        <w:rPr>
          <w:rFonts w:hint="eastAsia" w:ascii="仿宋_GB2312" w:hAnsi="仿宋" w:eastAsia="仿宋_GB2312" w:cs="Times New Roman"/>
          <w:b/>
          <w:bCs w:val="0"/>
          <w:color w:val="auto"/>
          <w:sz w:val="32"/>
          <w:szCs w:val="32"/>
          <w:highlight w:val="none"/>
          <w:lang w:val="en-US" w:eastAsia="zh-CN"/>
        </w:rPr>
        <w:t>单位</w:t>
      </w:r>
      <w:r>
        <w:rPr>
          <w:rFonts w:hint="eastAsia" w:ascii="仿宋_GB2312" w:hAnsi="仿宋" w:eastAsia="仿宋_GB2312" w:cs="Times New Roman"/>
          <w:b/>
          <w:bCs w:val="0"/>
          <w:color w:val="auto"/>
          <w:sz w:val="32"/>
          <w:szCs w:val="32"/>
          <w:highlight w:val="none"/>
        </w:rPr>
        <w:t>主要职能</w:t>
      </w:r>
    </w:p>
    <w:p>
      <w:pPr>
        <w:pStyle w:val="1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（1）坚持正确的政治方向，团结、教育全县各族各界的妇女以及各类妇女组织同党中央在思想上、政治上、行动上保持高度一致。</w:t>
      </w:r>
    </w:p>
    <w:p>
      <w:pPr>
        <w:pStyle w:val="1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2）紧密围绕县委、县政府的工作中心，团结、动员、组织妇女群众投身改革开放和社会主义物质文明、精神文明和政治文明建设，开发妇女人力资源，促进经济发展和社会进步，为维护改革发展稳定的大局服务。</w:t>
      </w:r>
    </w:p>
    <w:p>
      <w:pPr>
        <w:pStyle w:val="1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3）宣传马克思主义妇女观和男女平等思想，教育、引导妇女群众树立正确的世界观、人生观、价值观，弘扬“自尊、自信、自立、自强”的精神，积极推动和开展对妇女的科技文化及生产劳动技能教育，全面提高妇女素质。</w:t>
      </w:r>
    </w:p>
    <w:p>
      <w:pPr>
        <w:pStyle w:val="1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（4）代表妇女积极参与国家和社会事务管理和监督</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t>关注并加强研究涉及妇女切身利益的热点、难点问题，及时向县委、县政府反映社情民意，提出对策建议</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t>参与有关妇女儿童政策草案的拟定，从源头上强化维护妇女儿童合法权益工作。</w:t>
      </w:r>
    </w:p>
    <w:p>
      <w:pPr>
        <w:pStyle w:val="1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（5）坚持为妇女儿童服务，为基层服务，加强与社会各界的联系，协调推动全社会为妇女儿童办实事、办好事。</w:t>
      </w:r>
    </w:p>
    <w:p>
      <w:pPr>
        <w:pStyle w:val="1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（6）指导基层妇联依据《中华全国妇女联合会章程》开展工作</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t>联系团体会员并给予工作指导。</w:t>
      </w:r>
    </w:p>
    <w:p>
      <w:pPr>
        <w:pStyle w:val="1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（7）负责妇女儿童工作委员会办公室的工作。</w:t>
      </w:r>
    </w:p>
    <w:p>
      <w:pPr>
        <w:pStyle w:val="1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b w:val="0"/>
          <w:bCs w:val="0"/>
          <w:kern w:val="0"/>
          <w:sz w:val="32"/>
          <w:szCs w:val="32"/>
          <w:lang w:val="en-US" w:eastAsia="zh-CN" w:bidi="ar-SA"/>
        </w:rPr>
      </w:pPr>
      <w:r>
        <w:rPr>
          <w:rFonts w:hint="eastAsia" w:ascii="仿宋_GB2312" w:hAnsi="宋体" w:eastAsia="仿宋_GB2312"/>
          <w:b w:val="0"/>
          <w:bCs/>
          <w:sz w:val="32"/>
          <w:szCs w:val="32"/>
        </w:rPr>
        <w:t>（8）负责县委、县政府交办</w:t>
      </w:r>
      <w:r>
        <w:rPr>
          <w:rFonts w:hint="eastAsia" w:ascii="仿宋_GB2312" w:hAnsi="宋体" w:eastAsia="仿宋_GB2312"/>
          <w:b w:val="0"/>
          <w:bCs/>
          <w:sz w:val="32"/>
          <w:szCs w:val="32"/>
          <w:lang w:eastAsia="zh-CN"/>
        </w:rPr>
        <w:t>的其他工作</w:t>
      </w:r>
      <w:r>
        <w:rPr>
          <w:rFonts w:hint="eastAsia" w:ascii="仿宋_GB2312" w:hAnsi="仿宋_GB2312" w:eastAsia="仿宋_GB2312" w:cs="仿宋_GB2312"/>
          <w:b w:val="0"/>
          <w:bCs w:val="0"/>
          <w:kern w:val="0"/>
          <w:sz w:val="32"/>
          <w:szCs w:val="32"/>
          <w:lang w:val="en-US" w:eastAsia="zh-CN" w:bidi="ar-SA"/>
        </w:rPr>
        <w:t>。</w:t>
      </w:r>
    </w:p>
    <w:p>
      <w:pPr>
        <w:pStyle w:val="12"/>
        <w:keepNext w:val="0"/>
        <w:keepLines w:val="0"/>
        <w:pageBreakBefore w:val="0"/>
        <w:numPr>
          <w:ilvl w:val="0"/>
          <w:numId w:val="2"/>
        </w:numPr>
        <w:kinsoku/>
        <w:wordWrap/>
        <w:overflowPunct/>
        <w:topLinePunct w:val="0"/>
        <w:autoSpaceDE/>
        <w:autoSpaceDN/>
        <w:bidi w:val="0"/>
        <w:adjustRightInd/>
        <w:snapToGrid/>
        <w:spacing w:line="560" w:lineRule="exact"/>
        <w:ind w:firstLine="640"/>
        <w:textAlignment w:val="auto"/>
        <w:rPr>
          <w:rFonts w:hint="eastAsia" w:ascii="仿宋_GB2312" w:hAnsi="仿宋" w:eastAsia="仿宋_GB2312" w:cs="Times New Roman"/>
          <w:b/>
          <w:bCs w:val="0"/>
          <w:color w:val="auto"/>
          <w:sz w:val="32"/>
          <w:szCs w:val="32"/>
          <w:highlight w:val="none"/>
        </w:rPr>
      </w:pPr>
      <w:r>
        <w:rPr>
          <w:rFonts w:hint="eastAsia" w:ascii="仿宋_GB2312" w:hAnsi="仿宋" w:eastAsia="仿宋_GB2312" w:cs="Times New Roman"/>
          <w:b/>
          <w:bCs w:val="0"/>
          <w:color w:val="auto"/>
          <w:sz w:val="32"/>
          <w:szCs w:val="32"/>
          <w:highlight w:val="none"/>
          <w:lang w:eastAsia="zh-CN"/>
        </w:rPr>
        <w:t>单位</w:t>
      </w:r>
      <w:r>
        <w:rPr>
          <w:rFonts w:hint="eastAsia" w:ascii="仿宋_GB2312" w:hAnsi="仿宋" w:eastAsia="仿宋_GB2312" w:cs="Times New Roman"/>
          <w:b/>
          <w:bCs w:val="0"/>
          <w:color w:val="auto"/>
          <w:sz w:val="32"/>
          <w:szCs w:val="32"/>
          <w:highlight w:val="none"/>
        </w:rPr>
        <w:t>机构设置及人员构成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宋体"/>
          <w:b/>
          <w:color w:val="auto"/>
          <w:sz w:val="32"/>
          <w:szCs w:val="32"/>
          <w:highlight w:val="none"/>
          <w:lang w:bidi="ar"/>
        </w:rPr>
      </w:pPr>
      <w:r>
        <w:rPr>
          <w:rFonts w:hint="eastAsia" w:ascii="仿宋_GB2312" w:hAnsi="宋体" w:eastAsia="仿宋_GB2312"/>
          <w:b w:val="0"/>
          <w:bCs/>
          <w:sz w:val="32"/>
          <w:szCs w:val="32"/>
        </w:rPr>
        <w:t>民丰县妇女联合委员会在职</w:t>
      </w:r>
      <w:r>
        <w:rPr>
          <w:rFonts w:hint="eastAsia" w:ascii="仿宋_GB2312" w:hAnsi="宋体" w:eastAsia="仿宋_GB2312"/>
          <w:b w:val="0"/>
          <w:bCs/>
          <w:sz w:val="32"/>
          <w:szCs w:val="32"/>
          <w:lang w:val="en-US" w:eastAsia="zh-CN"/>
        </w:rPr>
        <w:t>9</w:t>
      </w:r>
      <w:r>
        <w:rPr>
          <w:rFonts w:hint="eastAsia" w:ascii="仿宋_GB2312" w:hAnsi="宋体" w:eastAsia="仿宋_GB2312"/>
          <w:b w:val="0"/>
          <w:bCs/>
          <w:sz w:val="32"/>
          <w:szCs w:val="32"/>
        </w:rPr>
        <w:t>人；行政编制3人，参照公务员法管理事业人员2人，非参公事业人员</w:t>
      </w:r>
      <w:r>
        <w:rPr>
          <w:rFonts w:hint="eastAsia" w:ascii="仿宋_GB2312" w:hAnsi="宋体" w:eastAsia="仿宋_GB2312"/>
          <w:b w:val="0"/>
          <w:bCs/>
          <w:sz w:val="32"/>
          <w:szCs w:val="32"/>
          <w:lang w:val="en-US" w:eastAsia="zh-CN"/>
        </w:rPr>
        <w:t>4</w:t>
      </w:r>
      <w:r>
        <w:rPr>
          <w:rFonts w:hint="eastAsia" w:ascii="仿宋_GB2312" w:hAnsi="宋体" w:eastAsia="仿宋_GB2312"/>
          <w:b w:val="0"/>
          <w:bCs/>
          <w:sz w:val="32"/>
          <w:szCs w:val="32"/>
        </w:rPr>
        <w:t>人</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cr/>
      </w:r>
      <w:r>
        <w:rPr>
          <w:rFonts w:hint="eastAsia" w:ascii="黑体" w:hAnsi="黑体" w:eastAsia="黑体" w:cs="宋体"/>
          <w:b/>
          <w:color w:val="auto"/>
          <w:sz w:val="32"/>
          <w:szCs w:val="32"/>
          <w:highlight w:val="none"/>
          <w:lang w:bidi="ar"/>
        </w:rPr>
        <w:t>（二）</w:t>
      </w:r>
      <w:r>
        <w:rPr>
          <w:rFonts w:ascii="黑体" w:hAnsi="黑体" w:eastAsia="黑体" w:cs="宋体"/>
          <w:b/>
          <w:color w:val="auto"/>
          <w:sz w:val="32"/>
          <w:szCs w:val="32"/>
          <w:highlight w:val="none"/>
          <w:lang w:bidi="ar"/>
        </w:rPr>
        <w:t>部门单位年度重点工作：</w:t>
      </w:r>
    </w:p>
    <w:p>
      <w:pPr>
        <w:pStyle w:val="12"/>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宋体" w:eastAsia="仿宋_GB2312"/>
          <w:b w:val="0"/>
          <w:bCs/>
          <w:sz w:val="32"/>
          <w:szCs w:val="32"/>
          <w:lang w:eastAsia="zh-CN"/>
        </w:rPr>
      </w:pP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lang w:val="en-US" w:eastAsia="zh-CN"/>
        </w:rPr>
        <w:t>1</w:t>
      </w:r>
      <w:r>
        <w:rPr>
          <w:rFonts w:hint="eastAsia" w:ascii="仿宋_GB2312" w:hAnsi="宋体" w:eastAsia="仿宋_GB2312"/>
          <w:b w:val="0"/>
          <w:bCs/>
          <w:sz w:val="32"/>
          <w:szCs w:val="32"/>
          <w:lang w:eastAsia="zh-CN"/>
        </w:rPr>
        <w:t>）坚持以习近平新时代中国特色社会主义思想为指导，完整准确全面贯彻新时代党的治疆方略，围绕自治区、地区妇联重点工作部署和县委中心工作，牢牢扭住社会稳定和长治久安总目标，增强“四个意识”、坚定“四个自信”、做到“两个维护”，切实把思想和行动统一到以习近平同志为核心的党中央的决策部署上来，以实际行动迎接党的二十大胜利召开。</w:t>
      </w:r>
    </w:p>
    <w:p>
      <w:pPr>
        <w:pStyle w:val="12"/>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宋体" w:eastAsia="仿宋_GB2312"/>
          <w:b w:val="0"/>
          <w:bCs/>
          <w:sz w:val="32"/>
          <w:szCs w:val="32"/>
          <w:lang w:eastAsia="zh-CN"/>
        </w:rPr>
      </w:pP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lang w:val="en-US" w:eastAsia="zh-CN"/>
        </w:rPr>
        <w:t>2</w:t>
      </w:r>
      <w:r>
        <w:rPr>
          <w:rFonts w:hint="eastAsia" w:ascii="仿宋_GB2312" w:hAnsi="宋体" w:eastAsia="仿宋_GB2312"/>
          <w:b w:val="0"/>
          <w:bCs/>
          <w:sz w:val="32"/>
          <w:szCs w:val="32"/>
          <w:lang w:eastAsia="zh-CN"/>
        </w:rPr>
        <w:t>）在送政策送温暖活动中，依托援疆项目、“爱心一元捐”、贫困母亲“两癌”免费筛查等活动，切实为困境妇女儿童办实事、办好事、办成事；</w:t>
      </w:r>
    </w:p>
    <w:p>
      <w:pPr>
        <w:pStyle w:val="12"/>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宋体" w:eastAsia="仿宋_GB2312"/>
          <w:b w:val="0"/>
          <w:bCs/>
          <w:sz w:val="32"/>
          <w:szCs w:val="32"/>
          <w:lang w:eastAsia="zh-CN"/>
        </w:rPr>
      </w:pP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lang w:val="en-US" w:eastAsia="zh-CN"/>
        </w:rPr>
        <w:t>3</w:t>
      </w:r>
      <w:r>
        <w:rPr>
          <w:rFonts w:hint="eastAsia" w:ascii="仿宋_GB2312" w:hAnsi="宋体" w:eastAsia="仿宋_GB2312"/>
          <w:b w:val="0"/>
          <w:bCs/>
          <w:sz w:val="32"/>
          <w:szCs w:val="32"/>
          <w:lang w:eastAsia="zh-CN"/>
        </w:rPr>
        <w:t>）推进“乡村振兴巾帼行动”，提升“美丽庭院”创建水平，与乡村振兴局协作，创建自治区“美丽庭院”示范村1个，最大限度激发各族妇女主人翁精神，在服务自治县改革发展稳定第一线建功立业；</w:t>
      </w:r>
    </w:p>
    <w:p>
      <w:pPr>
        <w:pStyle w:val="12"/>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宋体" w:eastAsia="仿宋_GB2312"/>
          <w:b w:val="0"/>
          <w:bCs/>
          <w:sz w:val="32"/>
          <w:szCs w:val="32"/>
          <w:lang w:eastAsia="zh-CN"/>
        </w:rPr>
      </w:pP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lang w:val="en-US" w:eastAsia="zh-CN"/>
        </w:rPr>
        <w:t>4</w:t>
      </w:r>
      <w:r>
        <w:rPr>
          <w:rFonts w:hint="eastAsia" w:ascii="仿宋_GB2312" w:hAnsi="宋体" w:eastAsia="仿宋_GB2312"/>
          <w:b w:val="0"/>
          <w:bCs/>
          <w:sz w:val="32"/>
          <w:szCs w:val="32"/>
          <w:lang w:eastAsia="zh-CN"/>
        </w:rPr>
        <w:t>）深入乡村开展法制宣传巡回宣讲活动，在向群众做好法律法规的宣传和依法依规为妇女全面发展营造环境中体现妇联作为，解决家庭暴力特别是冷暴力、语言暴力经常问题发生的，解决削弱妇女在家庭中政治地位、经济地位问题的发生，最大限度维护妇女儿童权益保护；</w:t>
      </w:r>
    </w:p>
    <w:p>
      <w:pPr>
        <w:pStyle w:val="12"/>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宋体" w:eastAsia="仿宋_GB2312"/>
          <w:b w:val="0"/>
          <w:bCs/>
          <w:sz w:val="32"/>
          <w:szCs w:val="32"/>
          <w:lang w:eastAsia="zh-CN"/>
        </w:rPr>
      </w:pP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lang w:val="en-US" w:eastAsia="zh-CN"/>
        </w:rPr>
        <w:t>5</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lang w:val="en-US" w:eastAsia="zh-CN"/>
        </w:rPr>
        <w:t>开</w:t>
      </w:r>
      <w:r>
        <w:rPr>
          <w:rFonts w:hint="eastAsia" w:ascii="仿宋_GB2312" w:hAnsi="宋体" w:eastAsia="仿宋_GB2312"/>
          <w:b w:val="0"/>
          <w:bCs/>
          <w:sz w:val="32"/>
          <w:szCs w:val="32"/>
          <w:lang w:eastAsia="zh-CN"/>
        </w:rPr>
        <w:t>展“党的二十大精神进家庭”大宣讲活动。</w:t>
      </w:r>
    </w:p>
    <w:p>
      <w:pPr>
        <w:spacing w:line="600" w:lineRule="exact"/>
        <w:ind w:firstLine="961" w:firstLineChars="300"/>
        <w:jc w:val="left"/>
        <w:rPr>
          <w:rFonts w:hint="eastAsia"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（三）</w:t>
      </w:r>
      <w:r>
        <w:rPr>
          <w:rFonts w:ascii="黑体" w:hAnsi="黑体" w:eastAsia="黑体" w:cs="宋体"/>
          <w:b/>
          <w:color w:val="auto"/>
          <w:sz w:val="32"/>
          <w:szCs w:val="32"/>
          <w:highlight w:val="none"/>
          <w:lang w:bidi="ar"/>
        </w:rPr>
        <w:t>部门单位整体预算规模及安排情况：</w:t>
      </w:r>
    </w:p>
    <w:p>
      <w:pPr>
        <w:spacing w:line="540" w:lineRule="exact"/>
        <w:ind w:firstLine="564" w:firstLineChars="181"/>
        <w:rPr>
          <w:rStyle w:val="9"/>
          <w:rFonts w:hint="eastAsia" w:ascii="仿宋_GB2312" w:hAnsi="楷体" w:eastAsia="仿宋_GB2312"/>
          <w:b w:val="0"/>
          <w:color w:val="auto"/>
          <w:spacing w:val="-4"/>
          <w:sz w:val="32"/>
          <w:szCs w:val="32"/>
          <w:highlight w:val="none"/>
          <w:lang w:eastAsia="zh-CN"/>
        </w:rPr>
      </w:pPr>
      <w:r>
        <w:rPr>
          <w:rStyle w:val="9"/>
          <w:rFonts w:hint="eastAsia" w:ascii="仿宋_GB2312" w:hAnsi="楷体" w:eastAsia="仿宋_GB2312"/>
          <w:b w:val="0"/>
          <w:color w:val="auto"/>
          <w:spacing w:val="-4"/>
          <w:sz w:val="32"/>
          <w:szCs w:val="32"/>
          <w:highlight w:val="none"/>
          <w:lang w:val="en-US" w:eastAsia="zh-CN"/>
        </w:rPr>
        <w:t>包括年初预算安排、年中调整（追加减）情况，</w:t>
      </w:r>
      <w:r>
        <w:rPr>
          <w:rStyle w:val="9"/>
          <w:rFonts w:hint="eastAsia" w:ascii="仿宋_GB2312" w:hAnsi="楷体" w:eastAsia="仿宋_GB2312"/>
          <w:b w:val="0"/>
          <w:color w:val="auto"/>
          <w:spacing w:val="-4"/>
          <w:sz w:val="32"/>
          <w:szCs w:val="32"/>
          <w:highlight w:val="none"/>
          <w:lang w:eastAsia="zh-CN"/>
        </w:rPr>
        <w:t>资金使用主要内容、涉及的范围。</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color w:val="auto"/>
          <w:highlight w:val="none"/>
          <w:lang w:eastAsia="zh-CN"/>
        </w:rPr>
      </w:pPr>
      <w:r>
        <w:rPr>
          <w:rFonts w:hint="eastAsia" w:ascii="仿宋_GB2312" w:hAnsi="方正楷体简体" w:eastAsia="仿宋_GB2312" w:cs="宋体"/>
          <w:b/>
          <w:bCs/>
          <w:color w:val="auto"/>
          <w:sz w:val="32"/>
          <w:szCs w:val="32"/>
          <w:highlight w:val="none"/>
        </w:rPr>
        <w:t>1．部门</w:t>
      </w:r>
      <w:r>
        <w:rPr>
          <w:rFonts w:hint="eastAsia" w:ascii="仿宋_GB2312" w:hAnsi="方正楷体简体" w:eastAsia="仿宋_GB2312" w:cs="宋体"/>
          <w:b/>
          <w:bCs/>
          <w:color w:val="auto"/>
          <w:sz w:val="32"/>
          <w:szCs w:val="32"/>
          <w:highlight w:val="none"/>
          <w:lang w:eastAsia="zh-CN"/>
        </w:rPr>
        <w:t>单位</w:t>
      </w:r>
      <w:r>
        <w:rPr>
          <w:rFonts w:hint="eastAsia" w:ascii="仿宋_GB2312" w:hAnsi="方正楷体简体" w:eastAsia="仿宋_GB2312" w:cs="宋体"/>
          <w:b/>
          <w:bCs/>
          <w:color w:val="auto"/>
          <w:sz w:val="32"/>
          <w:szCs w:val="32"/>
          <w:highlight w:val="none"/>
        </w:rPr>
        <w:t>整体支出规模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中央安排资金：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自治区安排资金：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b w:val="0"/>
          <w:bCs w:val="0"/>
          <w:color w:val="auto"/>
          <w:kern w:val="2"/>
          <w:sz w:val="32"/>
          <w:szCs w:val="32"/>
          <w:highlight w:val="none"/>
          <w:lang w:val="en-US" w:eastAsia="zh-CN" w:bidi="ar-SA"/>
        </w:rPr>
      </w:pPr>
      <w:r>
        <w:rPr>
          <w:rFonts w:hint="eastAsia" w:ascii="仿宋_GB2312" w:hAnsi="方正楷体简体" w:eastAsia="仿宋_GB2312" w:cs="宋体"/>
          <w:color w:val="auto"/>
          <w:sz w:val="32"/>
          <w:szCs w:val="32"/>
          <w:highlight w:val="none"/>
        </w:rPr>
        <w:t>地（州、市）安排：年初预算数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rPr>
        <w:t>县（市、区）安排：年初预算数</w:t>
      </w:r>
      <w:r>
        <w:rPr>
          <w:rFonts w:hint="eastAsia" w:ascii="仿宋_GB2312" w:hAnsi="方正楷体简体" w:eastAsia="仿宋_GB2312" w:cs="宋体"/>
          <w:color w:val="auto"/>
          <w:sz w:val="32"/>
          <w:szCs w:val="32"/>
          <w:highlight w:val="none"/>
          <w:lang w:val="en-US" w:eastAsia="zh-CN"/>
        </w:rPr>
        <w:t>154.11万元，预算数（调整后）194.84万元，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178.44万元，执行率91.58%。</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lang w:val="en-US" w:eastAsia="zh-CN"/>
        </w:rPr>
        <w:t>其他资金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（1）基本支出情况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民丰县妇女联合委员会</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148.09</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141.6</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6.49</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148.09</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（2）预算项目支出情况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民丰县妇女联合委员会</w:t>
      </w:r>
      <w:r>
        <w:rPr>
          <w:rFonts w:hint="eastAsia" w:ascii="仿宋_GB2312" w:hAnsi="方正楷体简体" w:eastAsia="仿宋_GB2312" w:cs="宋体"/>
          <w:color w:val="auto"/>
          <w:sz w:val="32"/>
          <w:szCs w:val="32"/>
          <w:highlight w:val="none"/>
        </w:rPr>
        <w:t>预算项目支出数共计</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个，全年预算</w:t>
      </w:r>
      <w:r>
        <w:rPr>
          <w:rFonts w:hint="eastAsia" w:ascii="仿宋_GB2312" w:hAnsi="方正楷体简体" w:eastAsia="仿宋_GB2312" w:cs="宋体"/>
          <w:color w:val="auto"/>
          <w:sz w:val="32"/>
          <w:szCs w:val="32"/>
          <w:highlight w:val="none"/>
          <w:lang w:eastAsia="zh-CN"/>
        </w:rPr>
        <w:t>46.75</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30.75</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64.92</w:t>
      </w:r>
      <w:r>
        <w:rPr>
          <w:rFonts w:hint="eastAsia" w:ascii="仿宋_GB2312" w:hAnsi="方正楷体简体" w:eastAsia="仿宋_GB2312" w:cs="宋体"/>
          <w:color w:val="auto"/>
          <w:sz w:val="32"/>
          <w:szCs w:val="32"/>
          <w:highlight w:val="none"/>
        </w:rPr>
        <w:t>%；其中，年初</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预算批复的整体支出绩效目标表中，项目支出预算数</w:t>
      </w:r>
      <w:r>
        <w:rPr>
          <w:rFonts w:hint="eastAsia" w:ascii="仿宋_GB2312" w:hAnsi="方正楷体简体" w:eastAsia="仿宋_GB2312" w:cs="宋体"/>
          <w:color w:val="auto"/>
          <w:sz w:val="32"/>
          <w:szCs w:val="32"/>
          <w:highlight w:val="none"/>
          <w:lang w:val="en-US" w:eastAsia="zh-CN"/>
        </w:rPr>
        <w:t>16.4</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万元，年中追加项目支出预算</w:t>
      </w:r>
      <w:r>
        <w:rPr>
          <w:rFonts w:hint="eastAsia" w:ascii="仿宋_GB2312" w:hAnsi="方正楷体简体" w:eastAsia="仿宋_GB2312" w:cs="宋体"/>
          <w:color w:val="auto"/>
          <w:sz w:val="32"/>
          <w:szCs w:val="32"/>
          <w:highlight w:val="none"/>
          <w:lang w:val="en-US" w:eastAsia="zh-CN"/>
        </w:rPr>
        <w:t>30.35</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30.35</w:t>
      </w:r>
      <w:r>
        <w:rPr>
          <w:rFonts w:hint="eastAsia" w:ascii="仿宋_GB2312" w:hAnsi="方正楷体简体" w:eastAsia="仿宋_GB2312" w:cs="宋体"/>
          <w:color w:val="auto"/>
          <w:sz w:val="32"/>
          <w:szCs w:val="32"/>
          <w:highlight w:val="none"/>
        </w:rPr>
        <w:t>万元。</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（3）专项资金项目支出情况</w:t>
      </w:r>
      <w:r>
        <w:rPr>
          <w:rFonts w:hint="eastAsia" w:ascii="仿宋_GB2312" w:hAnsi="方正楷体简体" w:eastAsia="仿宋_GB2312" w:cs="宋体"/>
          <w:color w:val="auto"/>
          <w:sz w:val="32"/>
          <w:szCs w:val="32"/>
          <w:highlight w:val="none"/>
        </w:rPr>
        <w:tab/>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color w:val="auto"/>
          <w:highlight w:val="none"/>
        </w:rPr>
      </w:pPr>
      <w:r>
        <w:rPr>
          <w:rFonts w:hint="eastAsia" w:ascii="仿宋_GB2312" w:hAnsi="方正楷体简体" w:eastAsia="仿宋_GB2312" w:cs="宋体"/>
          <w:color w:val="auto"/>
          <w:sz w:val="32"/>
          <w:szCs w:val="32"/>
          <w:highlight w:val="none"/>
        </w:rPr>
        <w:t>截至12月31日，上级专项资金项目共计</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2．使用方法</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color w:val="auto"/>
          <w:sz w:val="32"/>
          <w:szCs w:val="32"/>
          <w:highlight w:val="none"/>
        </w:rPr>
        <w:t>基本支出由财政</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按照进度每月分期拨付，人员支出按照工资计划发放工资；涉及资</w:t>
      </w:r>
      <w:r>
        <w:rPr>
          <w:rFonts w:hint="eastAsia" w:ascii="仿宋_GB2312" w:hAnsi="方正楷体简体" w:eastAsia="仿宋_GB2312" w:cs="宋体"/>
          <w:color w:val="auto"/>
          <w:sz w:val="32"/>
          <w:szCs w:val="32"/>
          <w:highlight w:val="none"/>
          <w:lang w:eastAsia="zh-CN"/>
        </w:rPr>
        <w:t>金支</w:t>
      </w:r>
      <w:r>
        <w:rPr>
          <w:rFonts w:hint="eastAsia" w:ascii="仿宋_GB2312" w:hAnsi="方正楷体简体" w:eastAsia="仿宋_GB2312" w:cs="宋体"/>
          <w:color w:val="auto"/>
          <w:sz w:val="32"/>
          <w:szCs w:val="32"/>
          <w:highlight w:val="none"/>
        </w:rPr>
        <w:t>出按照我单位《内控制度》中设定的流程申报审批进行；项目支出属于政府采购的，组织人员制定采购计划，委托公共资源交易中心或采购中心进行公开招标、邀请招标等方式进行；属于非政府采购的项目，按照“三重一大”制度规定，重大项目支出上党组会研究决定。</w:t>
      </w:r>
    </w:p>
    <w:p>
      <w:pPr>
        <w:keepNext w:val="0"/>
        <w:keepLines w:val="0"/>
        <w:pageBreakBefore w:val="0"/>
        <w:tabs>
          <w:tab w:val="left" w:pos="312"/>
        </w:tabs>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3．主要内容及涉及范围</w:t>
      </w:r>
    </w:p>
    <w:p>
      <w:pPr>
        <w:pStyle w:val="13"/>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color w:val="auto"/>
          <w:highlight w:val="none"/>
        </w:rPr>
      </w:pPr>
      <w:r>
        <w:rPr>
          <w:rFonts w:hint="eastAsia" w:hAnsi="方正楷体简体"/>
          <w:color w:val="auto"/>
          <w:highlight w:val="none"/>
        </w:rPr>
        <w:t>（1）基本支出包括人员经费和公用经费。公用经费主要包括：办公费、印刷费、咨询费、手续费、水费、电费、邮电费、取暖费、物业管理费、差旅费、维修（护）费、租赁费、会议费、培训费、公务接待费、专用材料费、专用燃料费、劳务费、工会经费、福利费、公务用车运行维护费、其他交通费用、税金及附加费用、其他商品和服务支出、办公设备购置、专用设备购置等。</w:t>
      </w:r>
    </w:p>
    <w:p>
      <w:pPr>
        <w:pStyle w:val="13"/>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b/>
          <w:color w:val="auto"/>
          <w:highlight w:val="none"/>
        </w:rPr>
      </w:pPr>
      <w:r>
        <w:rPr>
          <w:rFonts w:hint="eastAsia" w:hAnsi="方正楷体简体"/>
          <w:color w:val="auto"/>
          <w:highlight w:val="none"/>
        </w:rPr>
        <w:t>（2）202</w:t>
      </w:r>
      <w:r>
        <w:rPr>
          <w:rFonts w:hint="eastAsia" w:hAnsi="方正楷体简体"/>
          <w:color w:val="auto"/>
          <w:highlight w:val="none"/>
          <w:lang w:val="en-US" w:eastAsia="zh-CN"/>
        </w:rPr>
        <w:t>3</w:t>
      </w:r>
      <w:r>
        <w:rPr>
          <w:rFonts w:hint="eastAsia" w:hAnsi="方正楷体简体"/>
          <w:color w:val="auto"/>
          <w:highlight w:val="none"/>
        </w:rPr>
        <w:t>年度</w:t>
      </w:r>
      <w:r>
        <w:rPr>
          <w:rFonts w:hint="eastAsia" w:hAnsi="方正楷体简体"/>
          <w:color w:val="auto"/>
          <w:highlight w:val="none"/>
          <w:lang w:eastAsia="zh-CN"/>
        </w:rPr>
        <w:t>民丰县妇女联合委员会</w:t>
      </w:r>
      <w:r>
        <w:rPr>
          <w:rFonts w:hint="eastAsia" w:hAnsi="方正楷体简体"/>
          <w:color w:val="auto"/>
          <w:highlight w:val="none"/>
        </w:rPr>
        <w:t>项目支出共涉及</w:t>
      </w:r>
      <w:r>
        <w:rPr>
          <w:rFonts w:hint="eastAsia" w:hAnsi="方正楷体简体"/>
          <w:color w:val="auto"/>
          <w:highlight w:val="none"/>
          <w:lang w:val="en-US" w:eastAsia="zh-CN"/>
        </w:rPr>
        <w:t>3</w:t>
      </w:r>
      <w:r>
        <w:rPr>
          <w:rFonts w:hint="eastAsia" w:hAnsi="方正楷体简体"/>
          <w:color w:val="auto"/>
          <w:highlight w:val="none"/>
        </w:rPr>
        <w:t>个项目，分别为：</w:t>
      </w:r>
    </w:p>
    <w:tbl>
      <w:tblPr>
        <w:tblStyle w:val="7"/>
        <w:tblW w:w="99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06"/>
        <w:gridCol w:w="2525"/>
        <w:gridCol w:w="2783"/>
      </w:tblGrid>
      <w:tr>
        <w:tc>
          <w:tcPr>
            <w:tcW w:w="4606" w:type="dxa"/>
            <w:vAlign w:val="center"/>
          </w:tcPr>
          <w:p>
            <w:pPr>
              <w:pStyle w:val="12"/>
              <w:spacing w:line="560" w:lineRule="exact"/>
              <w:ind w:firstLine="200" w:firstLineChars="0"/>
              <w:jc w:val="center"/>
              <w:rPr>
                <w:rStyle w:val="9"/>
                <w:rFonts w:hint="eastAsia" w:ascii="仿宋_GB2312" w:hAnsi="黑体" w:eastAsia="仿宋_GB2312" w:cs="Times New Roman"/>
                <w:b w:val="0"/>
                <w:color w:val="auto"/>
                <w:spacing w:val="-4"/>
                <w:sz w:val="32"/>
                <w:szCs w:val="32"/>
                <w:highlight w:val="none"/>
              </w:rPr>
            </w:pPr>
            <w:r>
              <w:rPr>
                <w:rStyle w:val="9"/>
                <w:rFonts w:hint="eastAsia" w:ascii="仿宋_GB2312" w:hAnsi="黑体" w:eastAsia="仿宋_GB2312" w:cs="Times New Roman"/>
                <w:b w:val="0"/>
                <w:color w:val="auto"/>
                <w:spacing w:val="-4"/>
                <w:sz w:val="32"/>
                <w:szCs w:val="32"/>
                <w:highlight w:val="none"/>
              </w:rPr>
              <w:t>项目名称</w:t>
            </w:r>
          </w:p>
        </w:tc>
        <w:tc>
          <w:tcPr>
            <w:tcW w:w="2525" w:type="dxa"/>
            <w:vAlign w:val="center"/>
          </w:tcPr>
          <w:p>
            <w:pPr>
              <w:pStyle w:val="12"/>
              <w:spacing w:line="560" w:lineRule="exact"/>
              <w:ind w:firstLine="200" w:firstLineChars="0"/>
              <w:jc w:val="both"/>
              <w:rPr>
                <w:rStyle w:val="9"/>
                <w:rFonts w:hint="eastAsia" w:ascii="仿宋_GB2312" w:hAnsi="黑体" w:eastAsia="仿宋_GB2312" w:cs="Times New Roman"/>
                <w:b w:val="0"/>
                <w:color w:val="auto"/>
                <w:spacing w:val="-4"/>
                <w:sz w:val="32"/>
                <w:szCs w:val="32"/>
                <w:highlight w:val="none"/>
                <w:lang w:eastAsia="zh-CN"/>
              </w:rPr>
            </w:pPr>
            <w:r>
              <w:rPr>
                <w:rStyle w:val="9"/>
                <w:rFonts w:hint="eastAsia" w:ascii="仿宋_GB2312" w:hAnsi="黑体" w:eastAsia="仿宋_GB2312" w:cs="Times New Roman"/>
                <w:b w:val="0"/>
                <w:color w:val="auto"/>
                <w:spacing w:val="-4"/>
                <w:sz w:val="32"/>
                <w:szCs w:val="32"/>
                <w:highlight w:val="none"/>
              </w:rPr>
              <w:t>总预算</w:t>
            </w:r>
            <w:r>
              <w:rPr>
                <w:rStyle w:val="9"/>
                <w:rFonts w:hint="eastAsia" w:ascii="仿宋_GB2312" w:hAnsi="黑体" w:eastAsia="仿宋_GB2312" w:cs="Times New Roman"/>
                <w:b w:val="0"/>
                <w:color w:val="auto"/>
                <w:spacing w:val="-4"/>
                <w:sz w:val="32"/>
                <w:szCs w:val="32"/>
                <w:highlight w:val="none"/>
                <w:lang w:eastAsia="zh-CN"/>
              </w:rPr>
              <w:t>（</w:t>
            </w:r>
            <w:r>
              <w:rPr>
                <w:rStyle w:val="9"/>
                <w:rFonts w:hint="eastAsia" w:ascii="仿宋_GB2312" w:hAnsi="黑体" w:eastAsia="仿宋_GB2312" w:cs="Times New Roman"/>
                <w:b w:val="0"/>
                <w:color w:val="auto"/>
                <w:spacing w:val="-4"/>
                <w:sz w:val="32"/>
                <w:szCs w:val="32"/>
                <w:highlight w:val="none"/>
                <w:lang w:val="en-US" w:eastAsia="zh-CN"/>
              </w:rPr>
              <w:t>万元</w:t>
            </w:r>
            <w:r>
              <w:rPr>
                <w:rStyle w:val="9"/>
                <w:rFonts w:hint="eastAsia" w:ascii="仿宋_GB2312" w:hAnsi="黑体" w:eastAsia="仿宋_GB2312" w:cs="Times New Roman"/>
                <w:b w:val="0"/>
                <w:color w:val="auto"/>
                <w:spacing w:val="-4"/>
                <w:sz w:val="32"/>
                <w:szCs w:val="32"/>
                <w:highlight w:val="none"/>
                <w:lang w:eastAsia="zh-CN"/>
              </w:rPr>
              <w:t>）</w:t>
            </w:r>
          </w:p>
        </w:tc>
        <w:tc>
          <w:tcPr>
            <w:tcW w:w="2783" w:type="dxa"/>
            <w:vAlign w:val="center"/>
          </w:tcPr>
          <w:p>
            <w:pPr>
              <w:pStyle w:val="12"/>
              <w:spacing w:line="560" w:lineRule="exact"/>
              <w:ind w:firstLine="200" w:firstLineChars="0"/>
              <w:jc w:val="center"/>
              <w:rPr>
                <w:rStyle w:val="9"/>
                <w:rFonts w:hint="eastAsia" w:ascii="仿宋_GB2312" w:hAnsi="黑体" w:eastAsia="仿宋_GB2312" w:cs="Times New Roman"/>
                <w:b w:val="0"/>
                <w:color w:val="auto"/>
                <w:spacing w:val="-4"/>
                <w:sz w:val="32"/>
                <w:szCs w:val="32"/>
                <w:highlight w:val="none"/>
                <w:lang w:eastAsia="zh-CN"/>
              </w:rPr>
            </w:pPr>
            <w:r>
              <w:rPr>
                <w:rStyle w:val="9"/>
                <w:rFonts w:hint="eastAsia" w:ascii="仿宋_GB2312" w:hAnsi="黑体" w:eastAsia="仿宋_GB2312" w:cs="Times New Roman"/>
                <w:b w:val="0"/>
                <w:color w:val="auto"/>
                <w:spacing w:val="-4"/>
                <w:sz w:val="32"/>
                <w:szCs w:val="32"/>
                <w:highlight w:val="none"/>
                <w:lang w:eastAsia="zh-CN"/>
              </w:rPr>
              <w:t>项目属性</w:t>
            </w:r>
          </w:p>
        </w:tc>
      </w:tr>
      <w:tr>
        <w:trPr>
          <w:trHeight w:val="314" w:hRule="atLeast"/>
        </w:trP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妇女儿童工作经费</w:t>
            </w:r>
          </w:p>
        </w:tc>
        <w:tc>
          <w:tcPr>
            <w:tcW w:w="2525" w:type="dxa"/>
            <w:vAlign w:val="bottom"/>
          </w:tcPr>
          <w:p>
            <w:pPr>
              <w:keepNext w:val="0"/>
              <w:keepLines w:val="0"/>
              <w:widowControl/>
              <w:suppressLineNumbers w:val="0"/>
              <w:jc w:val="right"/>
              <w:textAlignment w:val="bottom"/>
              <w:rPr>
                <w:rFonts w:hint="default"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16.4</w:t>
            </w:r>
          </w:p>
        </w:tc>
        <w:tc>
          <w:tcPr>
            <w:tcW w:w="2783"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eastAsia="宋体" w:cs="宋体"/>
                <w:i w:val="0"/>
                <w:color w:val="auto"/>
                <w:kern w:val="0"/>
                <w:sz w:val="22"/>
                <w:szCs w:val="22"/>
                <w:highlight w:val="none"/>
                <w:u w:val="none"/>
                <w:lang w:val="en-US" w:eastAsia="zh-CN" w:bidi="ar"/>
              </w:rPr>
              <w:t>年初预算</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民丰县妇女和儿童工作委员会基础设施改造项目</w:t>
            </w:r>
          </w:p>
        </w:tc>
        <w:tc>
          <w:tcPr>
            <w:tcW w:w="2525" w:type="dxa"/>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30</w:t>
            </w:r>
          </w:p>
        </w:tc>
        <w:tc>
          <w:tcPr>
            <w:tcW w:w="2783"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年中追加</w:t>
            </w:r>
          </w:p>
        </w:tc>
      </w:tr>
      <w:tr>
        <w:tc>
          <w:tcPr>
            <w:tcW w:w="4606" w:type="dxa"/>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w:t>
            </w:r>
            <w:r>
              <w:rPr>
                <w:rStyle w:val="15"/>
                <w:lang w:val="en-US" w:eastAsia="zh-CN" w:bidi="ar"/>
              </w:rPr>
              <w:t>红娘</w:t>
            </w:r>
            <w:r>
              <w:rPr>
                <w:rStyle w:val="16"/>
                <w:rFonts w:eastAsia="宋体"/>
                <w:lang w:val="en-US" w:eastAsia="zh-CN" w:bidi="ar"/>
              </w:rPr>
              <w:t>”</w:t>
            </w:r>
            <w:r>
              <w:rPr>
                <w:rStyle w:val="15"/>
                <w:lang w:val="en-US" w:eastAsia="zh-CN" w:bidi="ar"/>
              </w:rPr>
              <w:t>团队奖励金</w:t>
            </w:r>
          </w:p>
        </w:tc>
        <w:tc>
          <w:tcPr>
            <w:tcW w:w="2525" w:type="dxa"/>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0.35</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年中追加</w:t>
            </w:r>
          </w:p>
        </w:tc>
      </w:tr>
    </w:tbl>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部门单位整体支出管理及使用情况：</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bCs/>
          <w:color w:val="auto"/>
          <w:spacing w:val="-4"/>
          <w:highlight w:val="none"/>
        </w:rPr>
      </w:pPr>
      <w:r>
        <w:rPr>
          <w:rStyle w:val="9"/>
          <w:rFonts w:hint="eastAsia" w:ascii="楷体" w:hAnsi="楷体" w:eastAsia="楷体" w:cs="Times New Roman"/>
          <w:b/>
          <w:bCs/>
          <w:color w:val="auto"/>
          <w:spacing w:val="-4"/>
          <w:sz w:val="32"/>
          <w:szCs w:val="32"/>
          <w:highlight w:val="none"/>
        </w:rPr>
        <w:t>（一）资金管理情况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严格按照国家财经法规、预算资金管理办法、财务管理制度以及专项资金管理办法的规定，严控经费支出，并严格按照公示制度要求进行公示，对项目资金，把资金的审批分配、监督检查与绩效评价结合起来，遵循先预算、再审批、后支出的原则，确保了财政资金分配和</w:t>
      </w:r>
      <w:r>
        <w:rPr>
          <w:rFonts w:hint="eastAsia" w:ascii="仿宋_GB2312" w:hAnsi="方正楷体简体" w:eastAsia="仿宋_GB2312" w:cs="宋体"/>
          <w:color w:val="auto"/>
          <w:sz w:val="32"/>
          <w:szCs w:val="32"/>
          <w:highlight w:val="none"/>
          <w:lang w:eastAsia="zh-CN"/>
        </w:rPr>
        <w:t>行政审批</w:t>
      </w:r>
      <w:r>
        <w:rPr>
          <w:rFonts w:hint="eastAsia" w:ascii="仿宋_GB2312" w:hAnsi="方正楷体简体" w:eastAsia="仿宋_GB2312" w:cs="宋体"/>
          <w:color w:val="auto"/>
          <w:sz w:val="32"/>
          <w:szCs w:val="32"/>
          <w:highlight w:val="none"/>
        </w:rPr>
        <w:t>程序合法，保证了项目资金的合理使用。对中央及自治区转移支付专项资金，按照专项资金管理办法进行管理和使用，对本级资金安排项目按照单位内部制定的资金管理办法及其他相关管理办法进行管理并严格执行。按照政府信息公开有关规定及时向社会公众公开相关预决算信息，保障预决算管理的公开透明。</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val="0"/>
          <w:bCs w:val="0"/>
          <w:color w:val="auto"/>
          <w:spacing w:val="-4"/>
          <w:sz w:val="32"/>
          <w:szCs w:val="32"/>
          <w:highlight w:val="none"/>
        </w:rPr>
      </w:pPr>
      <w:r>
        <w:rPr>
          <w:rStyle w:val="9"/>
          <w:rFonts w:hint="eastAsia" w:ascii="楷体" w:hAnsi="楷体" w:eastAsia="楷体" w:cs="Times New Roman"/>
          <w:b/>
          <w:bCs/>
          <w:color w:val="auto"/>
          <w:spacing w:val="-4"/>
          <w:sz w:val="32"/>
          <w:szCs w:val="32"/>
          <w:highlight w:val="none"/>
        </w:rPr>
        <w:t>（二）基本支出管理、支出情况、“三公”经费控制情况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1．基本支出管理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基本支出主要用于日常工作运转开支</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包括人员的工资福利支出、一般商品和服务支出、对个人和家庭的补助支出、对企事业单位的补贴及其他资本性支出。人员经费的开支主要是按照市财政统发工资表及文件的相关规定执行</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公用经费按照厉行节约的原则规范资金使用流程</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 xml:space="preserve"> 尤其是三公经费严格控制在预算指标内。接待费的报销必须附有接待公函、接待清单、接待明细</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车辆运行开支由办公室统一安排调配使用。</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民丰县妇女联合委员会</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148.09</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141.6</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6.49</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148.09</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我单位认真贯彻落实中央关于厉行节约的有关规定，严格执行《党政机关厉行节约反对浪费条例》和《机关公务接待管理办法》，全年大幅度压缩了因公出国（境）及公务接待费用支出。</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bCs/>
          <w:color w:val="auto"/>
          <w:spacing w:val="-4"/>
          <w:sz w:val="32"/>
          <w:szCs w:val="32"/>
          <w:highlight w:val="none"/>
        </w:rPr>
      </w:pPr>
      <w:r>
        <w:rPr>
          <w:rStyle w:val="9"/>
          <w:rFonts w:hint="eastAsia" w:ascii="楷体" w:hAnsi="楷体" w:eastAsia="楷体" w:cs="Times New Roman"/>
          <w:b/>
          <w:bCs/>
          <w:color w:val="auto"/>
          <w:spacing w:val="-4"/>
          <w:sz w:val="32"/>
          <w:szCs w:val="32"/>
          <w:highlight w:val="none"/>
        </w:rPr>
        <w:t>（三）专项资金支出预算安排及支出情况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年专项支出预算总额</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Times New Roman"/>
          <w:bCs/>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年共有</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个专项资金项目，其中已完成项目</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个、未完成项目</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个。</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部门单位整体支出绩效分析：</w:t>
      </w:r>
    </w:p>
    <w:p>
      <w:pPr>
        <w:spacing w:line="540" w:lineRule="exact"/>
        <w:ind w:firstLine="579" w:firstLineChars="181"/>
        <w:rPr>
          <w:rStyle w:val="9"/>
          <w:rFonts w:hint="eastAsia" w:ascii="楷体" w:hAnsi="楷体" w:eastAsia="楷体" w:cs="楷体"/>
          <w:b/>
          <w:bCs w:val="0"/>
          <w:color w:val="auto"/>
          <w:spacing w:val="-4"/>
          <w:sz w:val="32"/>
          <w:szCs w:val="32"/>
          <w:highlight w:val="none"/>
          <w:lang w:val="en-US" w:eastAsia="zh-CN"/>
        </w:rPr>
      </w:pPr>
      <w:r>
        <w:rPr>
          <w:rFonts w:hint="eastAsia" w:ascii="黑体" w:hAnsi="黑体" w:eastAsia="黑体" w:cs="宋体"/>
          <w:bCs/>
          <w:color w:val="auto"/>
          <w:sz w:val="32"/>
          <w:szCs w:val="32"/>
          <w:highlight w:val="none"/>
          <w:lang w:bidi="ar"/>
        </w:rPr>
        <w:t xml:space="preserve"> </w:t>
      </w:r>
      <w:r>
        <w:rPr>
          <w:rStyle w:val="9"/>
          <w:rFonts w:hint="eastAsia" w:ascii="楷体" w:hAnsi="楷体" w:eastAsia="楷体" w:cs="楷体"/>
          <w:b/>
          <w:bCs w:val="0"/>
          <w:color w:val="auto"/>
          <w:spacing w:val="-4"/>
          <w:sz w:val="32"/>
          <w:szCs w:val="32"/>
          <w:highlight w:val="none"/>
          <w:lang w:val="en-US" w:eastAsia="zh-CN"/>
        </w:rPr>
        <w:t>（一）指标一：开展妇女儿童工作次数</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lang w:val="en-US" w:eastAsia="zh-CN"/>
        </w:rPr>
        <w:t>开展妇女儿童工作次数</w:t>
      </w:r>
      <w:r>
        <w:rPr>
          <w:rFonts w:hint="eastAsia" w:ascii="仿宋_GB2312" w:hAnsi="仿宋" w:eastAsia="仿宋_GB2312"/>
          <w:color w:val="auto"/>
          <w:sz w:val="32"/>
          <w:szCs w:val="32"/>
          <w:highlight w:val="none"/>
        </w:rPr>
        <w:t>，预期指标是</w:t>
      </w:r>
      <w:r>
        <w:rPr>
          <w:rFonts w:hint="eastAsia" w:ascii="仿宋_GB2312" w:hAnsi="仿宋" w:eastAsia="仿宋_GB2312"/>
          <w:color w:val="auto"/>
          <w:sz w:val="32"/>
          <w:szCs w:val="32"/>
          <w:highlight w:val="none"/>
          <w:lang w:val="en-US" w:eastAsia="zh-CN"/>
        </w:rPr>
        <w:t>大于等于100次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51次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w:t>
      </w:r>
      <w:r>
        <w:rPr>
          <w:rFonts w:hint="eastAsia" w:ascii="仿宋_GB2312" w:hAnsi="仿宋" w:eastAsia="仿宋_GB2312"/>
          <w:color w:val="auto"/>
          <w:sz w:val="32"/>
          <w:szCs w:val="32"/>
          <w:highlight w:val="none"/>
          <w:lang w:val="en-US" w:eastAsia="zh-CN"/>
        </w:rPr>
        <w:t>100次</w:t>
      </w:r>
      <w:r>
        <w:rPr>
          <w:rStyle w:val="9"/>
          <w:rFonts w:hint="eastAsia" w:ascii="仿宋_GB2312" w:hAnsi="楷体" w:eastAsia="仿宋_GB2312" w:cs="Times New Roman"/>
          <w:b w:val="0"/>
          <w:color w:val="auto"/>
          <w:spacing w:val="-4"/>
          <w:sz w:val="32"/>
          <w:szCs w:val="32"/>
          <w:highlight w:val="none"/>
          <w:lang w:val="en-US" w:eastAsia="zh-CN"/>
        </w:rPr>
        <w:t>，</w:t>
      </w:r>
      <w:r>
        <w:rPr>
          <w:rFonts w:hint="eastAsia" w:ascii="仿宋_GB2312" w:hAnsi="仿宋" w:eastAsia="仿宋_GB2312"/>
          <w:color w:val="auto"/>
          <w:sz w:val="32"/>
          <w:szCs w:val="32"/>
          <w:highlight w:val="none"/>
        </w:rPr>
        <w:t>达到预期目标。</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（二）指标二：保障妇女儿童工作社区（村）数量</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保障妇女儿童工作社区（村）数量，预期指标是</w:t>
      </w:r>
      <w:r>
        <w:rPr>
          <w:rFonts w:hint="eastAsia" w:ascii="仿宋_GB2312" w:hAnsi="仿宋" w:eastAsia="仿宋_GB2312"/>
          <w:color w:val="auto"/>
          <w:sz w:val="32"/>
          <w:szCs w:val="32"/>
          <w:highlight w:val="none"/>
          <w:lang w:val="en-US" w:eastAsia="zh-CN"/>
        </w:rPr>
        <w:t>大于等于45个</w:t>
      </w:r>
      <w:r>
        <w:rPr>
          <w:rFonts w:hint="eastAsia" w:ascii="仿宋_GB2312" w:hAnsi="仿宋" w:eastAsia="仿宋_GB2312"/>
          <w:color w:val="auto"/>
          <w:sz w:val="32"/>
          <w:szCs w:val="32"/>
          <w:highlight w:val="none"/>
        </w:rPr>
        <w:t>，</w:t>
      </w:r>
      <w:r>
        <w:rPr>
          <w:rFonts w:hint="eastAsia" w:ascii="仿宋_GB2312" w:hAnsi="仿宋" w:eastAsia="仿宋_GB2312"/>
          <w:color w:val="auto"/>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45个</w:t>
      </w:r>
      <w:r>
        <w:rPr>
          <w:rFonts w:hint="eastAsia" w:ascii="仿宋_GB2312" w:hAnsi="仿宋" w:eastAsia="仿宋_GB2312"/>
          <w:color w:val="auto"/>
          <w:sz w:val="32"/>
          <w:szCs w:val="32"/>
          <w:highlight w:val="none"/>
        </w:rPr>
        <w:t>，</w:t>
      </w:r>
      <w:r>
        <w:rPr>
          <w:rFonts w:hint="eastAsia" w:ascii="仿宋_GB2312" w:hAnsi="仿宋" w:eastAsia="仿宋_GB2312"/>
          <w:color w:val="auto"/>
          <w:sz w:val="32"/>
          <w:szCs w:val="32"/>
          <w:highlight w:val="none"/>
          <w:lang w:val="en-US" w:eastAsia="zh-CN"/>
        </w:rPr>
        <w:t>本次评价实际完成值是45个，达到预期目标。</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（三）指标三：开展相关就业服务活动</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开展相关就业服务活动，预期指标是</w:t>
      </w:r>
      <w:r>
        <w:rPr>
          <w:rFonts w:hint="eastAsia" w:ascii="仿宋_GB2312" w:hAnsi="仿宋" w:eastAsia="仿宋_GB2312"/>
          <w:color w:val="auto"/>
          <w:sz w:val="32"/>
          <w:szCs w:val="32"/>
          <w:highlight w:val="none"/>
          <w:lang w:val="en-US" w:eastAsia="zh-CN"/>
        </w:rPr>
        <w:t>大于等于50次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27次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w:t>
      </w:r>
      <w:r>
        <w:rPr>
          <w:rFonts w:hint="eastAsia" w:ascii="仿宋_GB2312" w:hAnsi="仿宋" w:eastAsia="仿宋_GB2312"/>
          <w:color w:val="auto"/>
          <w:sz w:val="32"/>
          <w:szCs w:val="32"/>
          <w:highlight w:val="none"/>
          <w:lang w:val="en-US" w:eastAsia="zh-CN"/>
        </w:rPr>
        <w:t>50次</w:t>
      </w:r>
      <w:r>
        <w:rPr>
          <w:rStyle w:val="9"/>
          <w:rFonts w:hint="eastAsia" w:ascii="仿宋_GB2312" w:hAnsi="楷体" w:eastAsia="仿宋_GB2312" w:cs="Times New Roman"/>
          <w:b w:val="0"/>
          <w:color w:val="auto"/>
          <w:spacing w:val="-4"/>
          <w:sz w:val="32"/>
          <w:szCs w:val="32"/>
          <w:highlight w:val="none"/>
          <w:lang w:val="en-US" w:eastAsia="zh-CN"/>
        </w:rPr>
        <w:t>，</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（四）指标四：开展基层妇联干部业务培训次数</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开展基层妇联干部业务培训次数，预期指标是</w:t>
      </w:r>
      <w:r>
        <w:rPr>
          <w:rFonts w:hint="eastAsia" w:ascii="仿宋_GB2312" w:hAnsi="仿宋" w:eastAsia="仿宋_GB2312"/>
          <w:color w:val="auto"/>
          <w:sz w:val="32"/>
          <w:szCs w:val="32"/>
          <w:highlight w:val="none"/>
          <w:lang w:val="en-US" w:eastAsia="zh-CN"/>
        </w:rPr>
        <w:t>大于等于10场次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5场次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w:t>
      </w:r>
      <w:r>
        <w:rPr>
          <w:rFonts w:hint="eastAsia" w:ascii="仿宋_GB2312" w:hAnsi="仿宋" w:eastAsia="仿宋_GB2312"/>
          <w:color w:val="auto"/>
          <w:sz w:val="32"/>
          <w:szCs w:val="32"/>
          <w:highlight w:val="none"/>
          <w:lang w:val="en-US" w:eastAsia="zh-CN"/>
        </w:rPr>
        <w:t>10场次</w:t>
      </w:r>
      <w:r>
        <w:rPr>
          <w:rStyle w:val="9"/>
          <w:rFonts w:hint="eastAsia" w:ascii="仿宋_GB2312" w:hAnsi="楷体" w:eastAsia="仿宋_GB2312" w:cs="Times New Roman"/>
          <w:b w:val="0"/>
          <w:color w:val="auto"/>
          <w:spacing w:val="-4"/>
          <w:sz w:val="32"/>
          <w:szCs w:val="32"/>
          <w:highlight w:val="none"/>
          <w:lang w:val="en-US" w:eastAsia="zh-CN"/>
        </w:rPr>
        <w:t>，</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（五）指标五：婚姻家庭纠纷调解化解率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婚姻家庭纠纷调解化解率，预期指标是</w:t>
      </w:r>
      <w:r>
        <w:rPr>
          <w:rFonts w:hint="eastAsia" w:ascii="仿宋_GB2312" w:hAnsi="仿宋" w:eastAsia="仿宋_GB2312"/>
          <w:color w:val="auto"/>
          <w:sz w:val="32"/>
          <w:szCs w:val="32"/>
          <w:highlight w:val="none"/>
          <w:lang w:val="en-US" w:eastAsia="zh-CN"/>
        </w:rPr>
        <w:t>大于等于98%</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100%</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w:t>
      </w:r>
      <w:r>
        <w:rPr>
          <w:rFonts w:hint="eastAsia" w:ascii="仿宋_GB2312" w:hAnsi="仿宋" w:eastAsia="仿宋_GB2312"/>
          <w:color w:val="auto"/>
          <w:sz w:val="32"/>
          <w:szCs w:val="32"/>
          <w:highlight w:val="none"/>
          <w:lang w:val="en-US" w:eastAsia="zh-CN"/>
        </w:rPr>
        <w:t>100%</w:t>
      </w:r>
      <w:r>
        <w:rPr>
          <w:rStyle w:val="9"/>
          <w:rFonts w:hint="eastAsia" w:ascii="仿宋_GB2312" w:hAnsi="楷体" w:eastAsia="仿宋_GB2312" w:cs="Times New Roman"/>
          <w:b w:val="0"/>
          <w:color w:val="auto"/>
          <w:spacing w:val="-4"/>
          <w:sz w:val="32"/>
          <w:szCs w:val="32"/>
          <w:highlight w:val="none"/>
          <w:lang w:val="en-US" w:eastAsia="zh-CN"/>
        </w:rPr>
        <w:t>，</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（六）指标六：受益妇女儿童满意度</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lang w:val="en-US" w:eastAsia="zh-CN"/>
        </w:rPr>
      </w:pPr>
      <w:r>
        <w:rPr>
          <w:rFonts w:hint="eastAsia" w:ascii="仿宋_GB2312" w:hAnsi="仿宋" w:eastAsia="仿宋_GB2312"/>
          <w:color w:val="auto"/>
          <w:sz w:val="32"/>
          <w:szCs w:val="32"/>
          <w:highlight w:val="none"/>
        </w:rPr>
        <w:t>受益妇女儿童满意度，预期指标是</w:t>
      </w:r>
      <w:r>
        <w:rPr>
          <w:rFonts w:hint="eastAsia" w:ascii="仿宋_GB2312" w:hAnsi="仿宋" w:eastAsia="仿宋_GB2312"/>
          <w:color w:val="auto"/>
          <w:sz w:val="32"/>
          <w:szCs w:val="32"/>
          <w:highlight w:val="none"/>
          <w:lang w:val="en-US" w:eastAsia="zh-CN"/>
        </w:rPr>
        <w:t>大于等于95%</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95%</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w:t>
      </w:r>
      <w:r>
        <w:rPr>
          <w:rFonts w:hint="eastAsia" w:ascii="仿宋_GB2312" w:hAnsi="仿宋" w:eastAsia="仿宋_GB2312"/>
          <w:color w:val="auto"/>
          <w:sz w:val="32"/>
          <w:szCs w:val="32"/>
          <w:highlight w:val="none"/>
          <w:lang w:val="en-US" w:eastAsia="zh-CN"/>
        </w:rPr>
        <w:t>95%</w:t>
      </w:r>
      <w:r>
        <w:rPr>
          <w:rStyle w:val="9"/>
          <w:rFonts w:hint="eastAsia" w:ascii="仿宋_GB2312" w:hAnsi="楷体" w:eastAsia="仿宋_GB2312" w:cs="Times New Roman"/>
          <w:b w:val="0"/>
          <w:color w:val="auto"/>
          <w:spacing w:val="-4"/>
          <w:sz w:val="32"/>
          <w:szCs w:val="32"/>
          <w:highlight w:val="none"/>
          <w:lang w:val="en-US" w:eastAsia="zh-CN"/>
        </w:rPr>
        <w:t>，</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评价结论：</w:t>
      </w:r>
    </w:p>
    <w:p>
      <w:pPr>
        <w:spacing w:line="540" w:lineRule="exact"/>
        <w:ind w:firstLine="564" w:firstLineChars="181"/>
        <w:rPr>
          <w:rFonts w:ascii="仿宋_GB2312" w:hAnsi="宋体" w:eastAsia="仿宋_GB2312"/>
          <w:bCs/>
          <w:color w:val="auto"/>
          <w:sz w:val="32"/>
          <w:szCs w:val="32"/>
          <w:highlight w:val="none"/>
        </w:rPr>
      </w:pPr>
      <w:r>
        <w:rPr>
          <w:rStyle w:val="9"/>
          <w:rFonts w:hint="eastAsia" w:ascii="仿宋_GB2312" w:hAnsi="楷体" w:eastAsia="仿宋_GB2312" w:cs="Times New Roman"/>
          <w:b w:val="0"/>
          <w:color w:val="auto"/>
          <w:spacing w:val="-4"/>
          <w:sz w:val="32"/>
          <w:szCs w:val="32"/>
          <w:highlight w:val="none"/>
          <w:lang w:val="en-US" w:eastAsia="zh-CN"/>
        </w:rPr>
        <w:t>2023年度部门整体支出绩效自评综合得分99.16分，评价结果为“优”。</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存在的主要问题及原因分析：</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一</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预算执行存在偏差</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对个别项目资金使用方面预算不够细致，出现实际支出数</w:t>
      </w:r>
      <w:r>
        <w:rPr>
          <w:rFonts w:hint="eastAsia" w:ascii="仿宋_GB2312" w:hAnsi="仿宋" w:eastAsia="仿宋_GB2312" w:cs="仿宋"/>
          <w:color w:val="auto"/>
          <w:spacing w:val="-4"/>
          <w:sz w:val="32"/>
          <w:szCs w:val="32"/>
          <w:highlight w:val="none"/>
          <w:lang w:val="en-US" w:eastAsia="zh-CN"/>
        </w:rPr>
        <w:t>少于</w:t>
      </w:r>
      <w:r>
        <w:rPr>
          <w:rFonts w:ascii="仿宋_GB2312" w:hAnsi="仿宋" w:eastAsia="仿宋_GB2312" w:cs="仿宋"/>
          <w:color w:val="auto"/>
          <w:spacing w:val="-4"/>
          <w:sz w:val="32"/>
          <w:szCs w:val="32"/>
          <w:highlight w:val="none"/>
        </w:rPr>
        <w:t>预算申报数。</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rPr>
        <w:t>（二）</w:t>
      </w:r>
      <w:r>
        <w:rPr>
          <w:rFonts w:ascii="楷体" w:hAnsi="楷体" w:eastAsia="楷体" w:cs="仿宋"/>
          <w:b/>
          <w:bCs/>
          <w:color w:val="auto"/>
          <w:spacing w:val="-4"/>
          <w:sz w:val="32"/>
          <w:szCs w:val="32"/>
          <w:highlight w:val="none"/>
        </w:rPr>
        <w:t>目标设定科学性及评价存在难度</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对于目标设定需要分科室</w:t>
      </w:r>
      <w:r>
        <w:rPr>
          <w:rFonts w:hint="eastAsia" w:ascii="仿宋_GB2312" w:hAnsi="仿宋" w:eastAsia="仿宋_GB2312" w:cs="仿宋"/>
          <w:color w:val="auto"/>
          <w:spacing w:val="-4"/>
          <w:sz w:val="32"/>
          <w:szCs w:val="32"/>
          <w:highlight w:val="none"/>
          <w:lang w:eastAsia="zh-CN"/>
        </w:rPr>
        <w:t>单位</w:t>
      </w:r>
      <w:r>
        <w:rPr>
          <w:rFonts w:ascii="仿宋_GB2312" w:hAnsi="仿宋" w:eastAsia="仿宋_GB2312" w:cs="仿宋"/>
          <w:color w:val="auto"/>
          <w:spacing w:val="-4"/>
          <w:sz w:val="32"/>
          <w:szCs w:val="32"/>
          <w:highlight w:val="none"/>
        </w:rPr>
        <w:t>分解</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汇总后制定整体目标，如何科学整合全单位绩效目标比较困难；目标设定后如何科学设定考核评价标准，特别是对于不能量化的目标如何评价。</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（三）财务管理方面，会计核算还不够细致</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对于有些能够细分的工作</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未能详细分类核算</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绩效评价基础数据不够精准。</w:t>
      </w:r>
    </w:p>
    <w:p>
      <w:pPr>
        <w:pStyle w:val="12"/>
        <w:numPr>
          <w:ilvl w:val="0"/>
          <w:numId w:val="0"/>
        </w:numPr>
        <w:snapToGrid w:val="0"/>
        <w:spacing w:line="540" w:lineRule="exact"/>
        <w:ind w:left="640" w:leftChars="0"/>
        <w:rPr>
          <w:rStyle w:val="9"/>
          <w:rFonts w:hint="default" w:ascii="黑体" w:hAnsi="黑体" w:eastAsia="黑体"/>
          <w:b w:val="0"/>
          <w:bCs w:val="0"/>
          <w:color w:val="auto"/>
          <w:spacing w:val="-4"/>
          <w:sz w:val="32"/>
          <w:szCs w:val="32"/>
          <w:highlight w:val="none"/>
        </w:rPr>
      </w:pPr>
    </w:p>
    <w:p>
      <w:pPr>
        <w:pStyle w:val="12"/>
        <w:numPr>
          <w:ilvl w:val="0"/>
          <w:numId w:val="0"/>
        </w:numPr>
        <w:snapToGrid w:val="0"/>
        <w:spacing w:line="540" w:lineRule="exact"/>
        <w:ind w:left="640" w:leftChars="0"/>
        <w:rPr>
          <w:rStyle w:val="9"/>
          <w:rFonts w:ascii="黑体" w:hAnsi="黑体" w:eastAsia="黑体"/>
          <w:b w:val="0"/>
          <w:bCs w:val="0"/>
          <w:color w:val="auto"/>
          <w:spacing w:val="-4"/>
          <w:sz w:val="32"/>
          <w:szCs w:val="32"/>
          <w:highlight w:val="none"/>
        </w:rPr>
      </w:pPr>
      <w:r>
        <w:rPr>
          <w:rStyle w:val="9"/>
          <w:rFonts w:hint="default" w:ascii="黑体" w:hAnsi="黑体" w:eastAsia="黑体"/>
          <w:b w:val="0"/>
          <w:bCs w:val="0"/>
          <w:color w:val="auto"/>
          <w:spacing w:val="-4"/>
          <w:sz w:val="32"/>
          <w:szCs w:val="32"/>
          <w:highlight w:val="none"/>
        </w:rPr>
        <w:t>六、</w:t>
      </w:r>
      <w:r>
        <w:rPr>
          <w:rStyle w:val="9"/>
          <w:rFonts w:hint="eastAsia" w:ascii="黑体" w:hAnsi="黑体" w:eastAsia="黑体"/>
          <w:b w:val="0"/>
          <w:bCs w:val="0"/>
          <w:color w:val="auto"/>
          <w:spacing w:val="-4"/>
          <w:sz w:val="32"/>
          <w:szCs w:val="32"/>
          <w:highlight w:val="none"/>
        </w:rPr>
        <w:t>改进措施和建议</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hint="eastAsia" w:ascii="仿宋_GB2312" w:hAnsi="仿宋" w:eastAsia="仿宋_GB2312" w:cs="仿宋"/>
          <w:color w:val="auto"/>
          <w:spacing w:val="-4"/>
          <w:kern w:val="2"/>
          <w:sz w:val="32"/>
          <w:szCs w:val="32"/>
          <w:highlight w:val="none"/>
          <w:lang w:val="en-US" w:eastAsia="zh-CN" w:bidi="ar-SA"/>
        </w:rPr>
        <w:t>（一）</w:t>
      </w:r>
      <w:r>
        <w:rPr>
          <w:rFonts w:ascii="仿宋_GB2312" w:hAnsi="仿宋" w:eastAsia="仿宋_GB2312" w:cs="仿宋"/>
          <w:color w:val="auto"/>
          <w:spacing w:val="-4"/>
          <w:kern w:val="2"/>
          <w:sz w:val="32"/>
          <w:szCs w:val="32"/>
          <w:highlight w:val="none"/>
          <w:lang w:val="en-US" w:eastAsia="zh-CN" w:bidi="ar-SA"/>
        </w:rPr>
        <w:t>加强新行政单位会计制度和新预算法学习培训</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规范账务处理</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加强新《预算法</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行政单位会计制度》 、《会计法》 、《行政单位财务规则》等学习培训</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规范</w:t>
      </w:r>
      <w:r>
        <w:rPr>
          <w:rFonts w:hint="eastAsia" w:ascii="仿宋_GB2312" w:hAnsi="仿宋" w:eastAsia="仿宋_GB2312" w:cs="仿宋"/>
          <w:color w:val="auto"/>
          <w:spacing w:val="-4"/>
          <w:kern w:val="2"/>
          <w:sz w:val="32"/>
          <w:szCs w:val="32"/>
          <w:highlight w:val="none"/>
          <w:lang w:val="en-US" w:eastAsia="zh-CN" w:bidi="ar-SA"/>
        </w:rPr>
        <w:t>单位</w:t>
      </w:r>
      <w:r>
        <w:rPr>
          <w:rFonts w:ascii="仿宋_GB2312" w:hAnsi="仿宋" w:eastAsia="仿宋_GB2312" w:cs="仿宋"/>
          <w:color w:val="auto"/>
          <w:spacing w:val="-4"/>
          <w:kern w:val="2"/>
          <w:sz w:val="32"/>
          <w:szCs w:val="32"/>
          <w:highlight w:val="none"/>
          <w:lang w:val="en-US" w:eastAsia="zh-CN" w:bidi="ar-SA"/>
        </w:rPr>
        <w:t>预算收支核算</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制定和完善基本支出、项目支出等各项支出标准</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严格按项目和进度执行预算</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 xml:space="preserve"> 增强预算的约束力和严肃性</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落实预算执行分析</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及时了解预算执行差异</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合理调整、纠正预算执行偏差，切实提高</w:t>
      </w:r>
      <w:r>
        <w:rPr>
          <w:rFonts w:hint="eastAsia" w:ascii="仿宋_GB2312" w:hAnsi="仿宋" w:eastAsia="仿宋_GB2312" w:cs="仿宋"/>
          <w:color w:val="auto"/>
          <w:spacing w:val="-4"/>
          <w:kern w:val="2"/>
          <w:sz w:val="32"/>
          <w:szCs w:val="32"/>
          <w:highlight w:val="none"/>
          <w:lang w:val="en-US" w:eastAsia="zh-CN" w:bidi="ar-SA"/>
        </w:rPr>
        <w:t>单位</w:t>
      </w:r>
      <w:r>
        <w:rPr>
          <w:rFonts w:ascii="仿宋_GB2312" w:hAnsi="仿宋" w:eastAsia="仿宋_GB2312" w:cs="仿宋"/>
          <w:color w:val="auto"/>
          <w:spacing w:val="-4"/>
          <w:kern w:val="2"/>
          <w:sz w:val="32"/>
          <w:szCs w:val="32"/>
          <w:highlight w:val="none"/>
          <w:lang w:val="en-US" w:eastAsia="zh-CN" w:bidi="ar-SA"/>
        </w:rPr>
        <w:t>预算收支管理水平。尽可能地做到决算与预算相衔接。</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rPr>
        <w:t>（二）</w:t>
      </w:r>
      <w:r>
        <w:rPr>
          <w:rFonts w:ascii="楷体" w:hAnsi="楷体" w:eastAsia="楷体" w:cs="仿宋"/>
          <w:b/>
          <w:bCs/>
          <w:color w:val="auto"/>
          <w:spacing w:val="-4"/>
          <w:sz w:val="32"/>
          <w:szCs w:val="32"/>
          <w:highlight w:val="none"/>
        </w:rPr>
        <w:t>完善管理制度</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进</w:t>
      </w:r>
      <w:r>
        <w:rPr>
          <w:rFonts w:hint="eastAsia" w:ascii="楷体" w:hAnsi="楷体" w:eastAsia="楷体" w:cs="仿宋"/>
          <w:b/>
          <w:bCs/>
          <w:color w:val="auto"/>
          <w:spacing w:val="-4"/>
          <w:sz w:val="32"/>
          <w:szCs w:val="32"/>
          <w:highlight w:val="none"/>
          <w:lang w:val="en-US" w:eastAsia="zh-CN"/>
        </w:rPr>
        <w:t>一步</w:t>
      </w:r>
      <w:r>
        <w:rPr>
          <w:rFonts w:ascii="楷体" w:hAnsi="楷体" w:eastAsia="楷体" w:cs="仿宋"/>
          <w:b/>
          <w:bCs/>
          <w:color w:val="auto"/>
          <w:spacing w:val="-4"/>
          <w:sz w:val="32"/>
          <w:szCs w:val="32"/>
          <w:highlight w:val="none"/>
        </w:rPr>
        <w:t>加强资产管理</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严格按照《固定资产管理办法》的规定加强固定资产管理</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及时登记、更新台账，加强资产卡片管理</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对各类实物资产进行全面盘点</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确保</w:t>
      </w:r>
      <w:r>
        <w:rPr>
          <w:rFonts w:hint="eastAsia" w:ascii="仿宋_GB2312" w:hAnsi="仿宋" w:eastAsia="仿宋_GB2312" w:cs="仿宋"/>
          <w:color w:val="auto"/>
          <w:spacing w:val="-4"/>
          <w:sz w:val="32"/>
          <w:szCs w:val="32"/>
          <w:highlight w:val="none"/>
          <w:lang w:eastAsia="zh-CN"/>
        </w:rPr>
        <w:t>账</w:t>
      </w:r>
      <w:r>
        <w:rPr>
          <w:rFonts w:ascii="仿宋_GB2312" w:hAnsi="仿宋" w:eastAsia="仿宋_GB2312" w:cs="仿宋"/>
          <w:color w:val="auto"/>
          <w:spacing w:val="-4"/>
          <w:sz w:val="32"/>
          <w:szCs w:val="32"/>
          <w:highlight w:val="none"/>
        </w:rPr>
        <w:t>、账实相符。</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ascii="仿宋_GB2312" w:hAnsi="仿宋" w:eastAsia="仿宋_GB2312" w:cs="仿宋"/>
          <w:color w:val="auto"/>
          <w:spacing w:val="-4"/>
          <w:kern w:val="2"/>
          <w:sz w:val="32"/>
          <w:szCs w:val="32"/>
          <w:highlight w:val="none"/>
          <w:lang w:val="en-US" w:eastAsia="zh-CN" w:bidi="ar-SA"/>
        </w:rPr>
        <w:t>（三）加强学习如何科学合理制定绩效目标及考核体系，充分发挥绩效工作效用</w:t>
      </w:r>
      <w:r>
        <w:rPr>
          <w:rFonts w:hint="eastAsia" w:ascii="仿宋_GB2312" w:hAnsi="仿宋" w:eastAsia="仿宋_GB2312" w:cs="仿宋"/>
          <w:color w:val="auto"/>
          <w:spacing w:val="-4"/>
          <w:kern w:val="2"/>
          <w:sz w:val="32"/>
          <w:szCs w:val="32"/>
          <w:highlight w:val="none"/>
          <w:lang w:val="en-US" w:eastAsia="zh-CN" w:bidi="ar-SA"/>
        </w:rPr>
        <w:t>。</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ascii="仿宋_GB2312" w:hAnsi="仿宋" w:eastAsia="仿宋_GB2312" w:cs="仿宋"/>
          <w:color w:val="auto"/>
          <w:spacing w:val="-4"/>
          <w:kern w:val="2"/>
          <w:sz w:val="32"/>
          <w:szCs w:val="32"/>
          <w:highlight w:val="none"/>
          <w:lang w:val="en-US" w:eastAsia="zh-CN" w:bidi="ar-SA"/>
        </w:rPr>
        <w:t>（四）财务上，会计核算要更加详细，为本单位各项工作的开展、总结、评估提供有效数据资料支撑</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为各项业务工作更好</w:t>
      </w:r>
      <w:r>
        <w:rPr>
          <w:rFonts w:hint="eastAsia" w:ascii="仿宋_GB2312" w:hAnsi="仿宋" w:eastAsia="仿宋_GB2312" w:cs="仿宋"/>
          <w:color w:val="auto"/>
          <w:spacing w:val="-4"/>
          <w:kern w:val="2"/>
          <w:sz w:val="32"/>
          <w:szCs w:val="32"/>
          <w:highlight w:val="none"/>
          <w:lang w:val="en-US" w:eastAsia="zh-CN" w:bidi="ar-SA"/>
        </w:rPr>
        <w:t>地</w:t>
      </w:r>
      <w:r>
        <w:rPr>
          <w:rFonts w:ascii="仿宋_GB2312" w:hAnsi="仿宋" w:eastAsia="仿宋_GB2312" w:cs="仿宋"/>
          <w:color w:val="auto"/>
          <w:spacing w:val="-4"/>
          <w:kern w:val="2"/>
          <w:sz w:val="32"/>
          <w:szCs w:val="32"/>
          <w:highlight w:val="none"/>
          <w:lang w:val="en-US" w:eastAsia="zh-CN" w:bidi="ar-SA"/>
        </w:rPr>
        <w:t>开展提供帮助。</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（五）从源头上强化对专项资金预算管理</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楷体" w:eastAsia="仿宋_GB2312" w:cs="仿宋"/>
          <w:color w:val="auto"/>
          <w:spacing w:val="-4"/>
          <w:sz w:val="32"/>
          <w:szCs w:val="32"/>
          <w:highlight w:val="none"/>
        </w:rPr>
      </w:pPr>
      <w:r>
        <w:rPr>
          <w:rFonts w:ascii="仿宋_GB2312" w:hAnsi="楷体" w:eastAsia="仿宋_GB2312" w:cs="仿宋"/>
          <w:color w:val="auto"/>
          <w:spacing w:val="-4"/>
          <w:sz w:val="32"/>
          <w:szCs w:val="32"/>
          <w:highlight w:val="none"/>
        </w:rPr>
        <w:t>实行专项资金预算管理，结合单位实际</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 xml:space="preserve"> 按轻重缓急统筹安排编制预算</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提高预算编制科学性和合理性</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优化资金结构。</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（六）按时间进度分解资金使用计划</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hint="eastAsia" w:ascii="仿宋_GB2312" w:hAnsi="楷体" w:eastAsia="仿宋_GB2312" w:cs="仿宋"/>
          <w:color w:val="auto"/>
          <w:spacing w:val="-4"/>
          <w:sz w:val="32"/>
          <w:szCs w:val="32"/>
          <w:highlight w:val="none"/>
        </w:rPr>
      </w:pPr>
      <w:r>
        <w:rPr>
          <w:rFonts w:hint="eastAsia" w:ascii="仿宋_GB2312" w:hAnsi="楷体" w:eastAsia="仿宋_GB2312" w:cs="仿宋"/>
          <w:color w:val="auto"/>
          <w:spacing w:val="-4"/>
          <w:sz w:val="32"/>
          <w:szCs w:val="32"/>
          <w:highlight w:val="none"/>
        </w:rPr>
        <w:t>专项资金的使用，要事前做计划，事中进行控制，事后总结提高。合理安排资金使用</w:t>
      </w:r>
      <w:r>
        <w:rPr>
          <w:rFonts w:hint="eastAsia" w:ascii="仿宋_GB2312" w:hAnsi="楷体" w:eastAsia="仿宋_GB2312" w:cs="仿宋"/>
          <w:color w:val="auto"/>
          <w:spacing w:val="-4"/>
          <w:sz w:val="32"/>
          <w:szCs w:val="32"/>
          <w:highlight w:val="none"/>
          <w:lang w:eastAsia="zh-CN"/>
        </w:rPr>
        <w:t>，</w:t>
      </w:r>
      <w:r>
        <w:rPr>
          <w:rFonts w:hint="eastAsia" w:ascii="仿宋_GB2312" w:hAnsi="楷体" w:eastAsia="仿宋_GB2312" w:cs="仿宋"/>
          <w:color w:val="auto"/>
          <w:spacing w:val="-4"/>
          <w:sz w:val="32"/>
          <w:szCs w:val="32"/>
          <w:highlight w:val="none"/>
        </w:rPr>
        <w:t>充分体现资金投向的目标和效益。</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（七）进一步提高绩效管理水平</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楷体" w:eastAsia="仿宋_GB2312" w:cs="仿宋"/>
          <w:color w:val="auto"/>
          <w:spacing w:val="-4"/>
          <w:sz w:val="32"/>
          <w:szCs w:val="32"/>
          <w:highlight w:val="none"/>
        </w:rPr>
      </w:pPr>
      <w:r>
        <w:rPr>
          <w:rFonts w:ascii="仿宋_GB2312" w:hAnsi="楷体" w:eastAsia="仿宋_GB2312" w:cs="仿宋"/>
          <w:color w:val="auto"/>
          <w:spacing w:val="-4"/>
          <w:sz w:val="32"/>
          <w:szCs w:val="32"/>
          <w:highlight w:val="none"/>
        </w:rPr>
        <w:t>由于目前的预算管理在编制和实施中还存在编制不细、预算调整较多、追加预算比重较大等现象</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因此项目预算执行的准确性还有待加强</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同时分析手段和技术水平上还有待完善。在今后的工作中</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我们将加强与财政</w:t>
      </w:r>
      <w:r>
        <w:rPr>
          <w:rFonts w:hint="eastAsia" w:ascii="仿宋_GB2312" w:hAnsi="楷体" w:eastAsia="仿宋_GB2312" w:cs="仿宋"/>
          <w:color w:val="auto"/>
          <w:spacing w:val="-4"/>
          <w:sz w:val="32"/>
          <w:szCs w:val="32"/>
          <w:highlight w:val="none"/>
          <w:lang w:eastAsia="zh-CN"/>
        </w:rPr>
        <w:t>单位</w:t>
      </w:r>
      <w:r>
        <w:rPr>
          <w:rFonts w:ascii="仿宋_GB2312" w:hAnsi="楷体" w:eastAsia="仿宋_GB2312" w:cs="仿宋"/>
          <w:color w:val="auto"/>
          <w:spacing w:val="-4"/>
          <w:sz w:val="32"/>
          <w:szCs w:val="32"/>
          <w:highlight w:val="none"/>
        </w:rPr>
        <w:t>的紧密配合</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开展好整体支出及项目资金绩效管理工作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运用好绩效评价的结果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不断提升预算管理水平。</w:t>
      </w:r>
    </w:p>
    <w:p>
      <w:pPr>
        <w:spacing w:line="600" w:lineRule="exact"/>
        <w:ind w:firstLine="960" w:firstLineChars="300"/>
        <w:jc w:val="left"/>
        <w:rPr>
          <w:rFonts w:ascii="仿宋_GB2312" w:hAnsi="宋体" w:eastAsia="仿宋_GB2312"/>
          <w:bCs/>
          <w:color w:val="auto"/>
          <w:sz w:val="32"/>
          <w:szCs w:val="32"/>
          <w:highlight w:val="none"/>
        </w:rPr>
      </w:pPr>
    </w:p>
    <w:p>
      <w:pPr>
        <w:rPr>
          <w:color w:val="auto"/>
          <w:highlight w:val="none"/>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86"/>
    <w:family w:val="auto"/>
    <w:pitch w:val="default"/>
    <w:sig w:usb0="E0000AFF" w:usb1="00007843" w:usb2="00000001" w:usb3="00000000" w:csb0="400001BF" w:csb1="DFF70000"/>
  </w:font>
  <w:font w:name="宋体">
    <w:altName w:val="汉仪书宋二KW"/>
    <w:panose1 w:val="02010600030101010101"/>
    <w:charset w:val="50"/>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altName w:val="方正仿宋_GBK"/>
    <w:panose1 w:val="00000000000000000000"/>
    <w:charset w:val="86"/>
    <w:family w:val="modern"/>
    <w:pitch w:val="default"/>
    <w:sig w:usb0="00000000" w:usb1="00000000" w:usb2="00000000" w:usb3="00000000" w:csb0="00040000" w:csb1="00000000"/>
  </w:font>
  <w:font w:name="方正小标宋_GBK">
    <w:altName w:val="汉仪书宋二KW"/>
    <w:panose1 w:val="00000000000000000000"/>
    <w:charset w:val="86"/>
    <w:family w:val="script"/>
    <w:pitch w:val="default"/>
    <w:sig w:usb0="00000000" w:usb1="00000000" w:usb2="00000000" w:usb3="00000000" w:csb0="00040000" w:csb1="00000000"/>
  </w:font>
  <w:font w:name="华文中宋">
    <w:altName w:val="汉仪书宋二KW"/>
    <w:panose1 w:val="02010600040101010101"/>
    <w:charset w:val="86"/>
    <w:family w:val="auto"/>
    <w:pitch w:val="default"/>
    <w:sig w:usb0="00000000" w:usb1="00000000" w:usb2="00000000" w:usb3="00000000" w:csb0="0004009F" w:csb1="DFD70000"/>
  </w:font>
  <w:font w:name="仿宋">
    <w:altName w:val="方正仿宋_GBK"/>
    <w:panose1 w:val="02010609060101010101"/>
    <w:charset w:val="86"/>
    <w:family w:val="modern"/>
    <w:pitch w:val="default"/>
    <w:sig w:usb0="00000000" w:usb1="00000000" w:usb2="00000016" w:usb3="00000000" w:csb0="00040001" w:csb1="00000000"/>
  </w:font>
  <w:font w:name="楷体">
    <w:altName w:val="汉仪楷体KW"/>
    <w:panose1 w:val="02010609060101010101"/>
    <w:charset w:val="86"/>
    <w:family w:val="modern"/>
    <w:pitch w:val="default"/>
    <w:sig w:usb0="00000000" w:usb1="00000000" w:usb2="00000016" w:usb3="00000000" w:csb0="00040001" w:csb1="00000000"/>
  </w:font>
  <w:font w:name="方正楷体简体">
    <w:altName w:val="汉仪楷体简"/>
    <w:panose1 w:val="00000000000000000000"/>
    <w:charset w:val="86"/>
    <w:family w:val="auto"/>
    <w:pitch w:val="default"/>
    <w:sig w:usb0="00000000" w:usb1="00000000" w:usb2="00000012" w:usb3="00000000" w:csb0="00040001" w:csb1="00000000"/>
  </w:font>
  <w:font w:name="汉仪书宋二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汉仪中黑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楷体KW">
    <w:panose1 w:val="00020600040101010101"/>
    <w:charset w:val="86"/>
    <w:family w:val="auto"/>
    <w:pitch w:val="default"/>
    <w:sig w:usb0="A00002BF" w:usb1="18EF7CFA" w:usb2="00000016" w:usb3="00000000" w:csb0="0004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95FED92"/>
    <w:multiLevelType w:val="singleLevel"/>
    <w:tmpl w:val="E95FED92"/>
    <w:lvl w:ilvl="0" w:tentative="0">
      <w:start w:val="2"/>
      <w:numFmt w:val="decimal"/>
      <w:suff w:val="nothing"/>
      <w:lvlText w:val="%1．"/>
      <w:lvlJc w:val="left"/>
    </w:lvl>
  </w:abstractNum>
  <w:abstractNum w:abstractNumId="1">
    <w:nsid w:val="69703BB8"/>
    <w:multiLevelType w:val="multilevel"/>
    <w:tmpl w:val="69703BB8"/>
    <w:lvl w:ilvl="0" w:tentative="0">
      <w:start w:val="1"/>
      <w:numFmt w:val="japaneseCounting"/>
      <w:lvlText w:val="%1、"/>
      <w:lvlJc w:val="left"/>
      <w:pPr>
        <w:ind w:left="1980" w:hanging="720"/>
      </w:pPr>
      <w:rPr>
        <w:rFonts w:hint="default"/>
      </w:rPr>
    </w:lvl>
    <w:lvl w:ilvl="1" w:tentative="0">
      <w:start w:val="1"/>
      <w:numFmt w:val="lowerLetter"/>
      <w:lvlText w:val="%2)"/>
      <w:lvlJc w:val="left"/>
      <w:pPr>
        <w:ind w:left="1488" w:hanging="420"/>
      </w:pPr>
    </w:lvl>
    <w:lvl w:ilvl="2" w:tentative="0">
      <w:start w:val="1"/>
      <w:numFmt w:val="lowerRoman"/>
      <w:lvlText w:val="%3."/>
      <w:lvlJc w:val="right"/>
      <w:pPr>
        <w:ind w:left="1908" w:hanging="420"/>
      </w:pPr>
    </w:lvl>
    <w:lvl w:ilvl="3" w:tentative="0">
      <w:start w:val="1"/>
      <w:numFmt w:val="decimal"/>
      <w:lvlText w:val="%4."/>
      <w:lvlJc w:val="left"/>
      <w:pPr>
        <w:ind w:left="2328" w:hanging="420"/>
      </w:pPr>
    </w:lvl>
    <w:lvl w:ilvl="4" w:tentative="0">
      <w:start w:val="1"/>
      <w:numFmt w:val="lowerLetter"/>
      <w:lvlText w:val="%5)"/>
      <w:lvlJc w:val="left"/>
      <w:pPr>
        <w:ind w:left="2748" w:hanging="420"/>
      </w:pPr>
    </w:lvl>
    <w:lvl w:ilvl="5" w:tentative="0">
      <w:start w:val="1"/>
      <w:numFmt w:val="lowerRoman"/>
      <w:lvlText w:val="%6."/>
      <w:lvlJc w:val="right"/>
      <w:pPr>
        <w:ind w:left="3168" w:hanging="420"/>
      </w:pPr>
    </w:lvl>
    <w:lvl w:ilvl="6" w:tentative="0">
      <w:start w:val="1"/>
      <w:numFmt w:val="decimal"/>
      <w:lvlText w:val="%7."/>
      <w:lvlJc w:val="left"/>
      <w:pPr>
        <w:ind w:left="3588" w:hanging="420"/>
      </w:pPr>
    </w:lvl>
    <w:lvl w:ilvl="7" w:tentative="0">
      <w:start w:val="1"/>
      <w:numFmt w:val="lowerLetter"/>
      <w:lvlText w:val="%8)"/>
      <w:lvlJc w:val="left"/>
      <w:pPr>
        <w:ind w:left="4008" w:hanging="420"/>
      </w:pPr>
    </w:lvl>
    <w:lvl w:ilvl="8" w:tentative="0">
      <w:start w:val="1"/>
      <w:numFmt w:val="lowerRoman"/>
      <w:lvlText w:val="%9."/>
      <w:lvlJc w:val="right"/>
      <w:pPr>
        <w:ind w:left="4428"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AwZmYzMDUwNzhmYmVmMzNlY2I1MjAwNzI2NzY5MDUifQ=="/>
  </w:docVars>
  <w:rsids>
    <w:rsidRoot w:val="00EB3604"/>
    <w:rsid w:val="00021B05"/>
    <w:rsid w:val="000B791B"/>
    <w:rsid w:val="001C7F2C"/>
    <w:rsid w:val="00340E58"/>
    <w:rsid w:val="003E45AA"/>
    <w:rsid w:val="00486CD9"/>
    <w:rsid w:val="00584481"/>
    <w:rsid w:val="00653C1A"/>
    <w:rsid w:val="0072543F"/>
    <w:rsid w:val="007A5D83"/>
    <w:rsid w:val="007A798C"/>
    <w:rsid w:val="007B51CE"/>
    <w:rsid w:val="007D7702"/>
    <w:rsid w:val="007E47F4"/>
    <w:rsid w:val="007F0F7C"/>
    <w:rsid w:val="00892E0B"/>
    <w:rsid w:val="008F0DCE"/>
    <w:rsid w:val="00916058"/>
    <w:rsid w:val="00AB72C1"/>
    <w:rsid w:val="00C10BB4"/>
    <w:rsid w:val="00C46AA6"/>
    <w:rsid w:val="00C83466"/>
    <w:rsid w:val="00CE0C6C"/>
    <w:rsid w:val="00DB647F"/>
    <w:rsid w:val="00DC7E33"/>
    <w:rsid w:val="00E40ABD"/>
    <w:rsid w:val="00E8616A"/>
    <w:rsid w:val="00EB3604"/>
    <w:rsid w:val="020B07BA"/>
    <w:rsid w:val="02437108"/>
    <w:rsid w:val="02656D15"/>
    <w:rsid w:val="02D53963"/>
    <w:rsid w:val="02E32A46"/>
    <w:rsid w:val="033D0BD9"/>
    <w:rsid w:val="03F55E79"/>
    <w:rsid w:val="04C325F4"/>
    <w:rsid w:val="04E37572"/>
    <w:rsid w:val="053C376F"/>
    <w:rsid w:val="056B2C09"/>
    <w:rsid w:val="059E4F1D"/>
    <w:rsid w:val="05CB6613"/>
    <w:rsid w:val="065340BF"/>
    <w:rsid w:val="06696209"/>
    <w:rsid w:val="067858D3"/>
    <w:rsid w:val="083B3FF0"/>
    <w:rsid w:val="0883680C"/>
    <w:rsid w:val="08AF2377"/>
    <w:rsid w:val="08CC471F"/>
    <w:rsid w:val="08DB74F4"/>
    <w:rsid w:val="08DF2A73"/>
    <w:rsid w:val="0AC65524"/>
    <w:rsid w:val="0B0C3FAE"/>
    <w:rsid w:val="0B5B2654"/>
    <w:rsid w:val="0B6F48AA"/>
    <w:rsid w:val="0BC64CF0"/>
    <w:rsid w:val="0C1013EF"/>
    <w:rsid w:val="0C360B29"/>
    <w:rsid w:val="0D1922F1"/>
    <w:rsid w:val="0D9F0DF1"/>
    <w:rsid w:val="0E325CFD"/>
    <w:rsid w:val="0E6E4ABB"/>
    <w:rsid w:val="0E737D65"/>
    <w:rsid w:val="0F7479C3"/>
    <w:rsid w:val="10DF6E84"/>
    <w:rsid w:val="127423D4"/>
    <w:rsid w:val="12D07449"/>
    <w:rsid w:val="1394628E"/>
    <w:rsid w:val="13BD0265"/>
    <w:rsid w:val="13C71FBF"/>
    <w:rsid w:val="1438599A"/>
    <w:rsid w:val="14672081"/>
    <w:rsid w:val="14774BD6"/>
    <w:rsid w:val="14F27B7B"/>
    <w:rsid w:val="15190DF9"/>
    <w:rsid w:val="16F94A67"/>
    <w:rsid w:val="16FE4F0E"/>
    <w:rsid w:val="18414008"/>
    <w:rsid w:val="189E58C4"/>
    <w:rsid w:val="18DA0301"/>
    <w:rsid w:val="197406AD"/>
    <w:rsid w:val="19F6744F"/>
    <w:rsid w:val="19FE0A5D"/>
    <w:rsid w:val="1A0E3F2D"/>
    <w:rsid w:val="1A25501E"/>
    <w:rsid w:val="1A6E5307"/>
    <w:rsid w:val="1C2C07FE"/>
    <w:rsid w:val="1C67144E"/>
    <w:rsid w:val="1D073223"/>
    <w:rsid w:val="1D95187B"/>
    <w:rsid w:val="1E66234A"/>
    <w:rsid w:val="1EEE0F9D"/>
    <w:rsid w:val="1F356D9F"/>
    <w:rsid w:val="1FBB36D6"/>
    <w:rsid w:val="200F4073"/>
    <w:rsid w:val="211B3E94"/>
    <w:rsid w:val="215E00BB"/>
    <w:rsid w:val="224462AF"/>
    <w:rsid w:val="229016F2"/>
    <w:rsid w:val="234B1673"/>
    <w:rsid w:val="236F5373"/>
    <w:rsid w:val="237B7408"/>
    <w:rsid w:val="23820713"/>
    <w:rsid w:val="23A942FF"/>
    <w:rsid w:val="24B86128"/>
    <w:rsid w:val="252E7E35"/>
    <w:rsid w:val="254C0941"/>
    <w:rsid w:val="26BB34EA"/>
    <w:rsid w:val="27403F24"/>
    <w:rsid w:val="27FB2943"/>
    <w:rsid w:val="281047E7"/>
    <w:rsid w:val="28365FEE"/>
    <w:rsid w:val="2882412D"/>
    <w:rsid w:val="28F109D1"/>
    <w:rsid w:val="291F3644"/>
    <w:rsid w:val="29B25969"/>
    <w:rsid w:val="2AF77D81"/>
    <w:rsid w:val="2B043BBD"/>
    <w:rsid w:val="2B4341EB"/>
    <w:rsid w:val="2C4A2785"/>
    <w:rsid w:val="2CA0603E"/>
    <w:rsid w:val="2D6A2DFD"/>
    <w:rsid w:val="2DAA4FFB"/>
    <w:rsid w:val="2DE92A48"/>
    <w:rsid w:val="2E913C19"/>
    <w:rsid w:val="2EE7129F"/>
    <w:rsid w:val="2EF80FF5"/>
    <w:rsid w:val="2F084D7C"/>
    <w:rsid w:val="30521277"/>
    <w:rsid w:val="307179D7"/>
    <w:rsid w:val="30A967BD"/>
    <w:rsid w:val="30C71428"/>
    <w:rsid w:val="31153648"/>
    <w:rsid w:val="311D1738"/>
    <w:rsid w:val="32650FE8"/>
    <w:rsid w:val="32F63DCB"/>
    <w:rsid w:val="33AB5FAE"/>
    <w:rsid w:val="33D53037"/>
    <w:rsid w:val="33EA0269"/>
    <w:rsid w:val="343E7D67"/>
    <w:rsid w:val="345A5349"/>
    <w:rsid w:val="34CB0FF3"/>
    <w:rsid w:val="350E12DF"/>
    <w:rsid w:val="35274E80"/>
    <w:rsid w:val="35446943"/>
    <w:rsid w:val="355E433D"/>
    <w:rsid w:val="361E2E4B"/>
    <w:rsid w:val="362070E1"/>
    <w:rsid w:val="364E6E77"/>
    <w:rsid w:val="36AE361F"/>
    <w:rsid w:val="37213B34"/>
    <w:rsid w:val="372733FD"/>
    <w:rsid w:val="37371439"/>
    <w:rsid w:val="37E55C04"/>
    <w:rsid w:val="37FB4095"/>
    <w:rsid w:val="386D3270"/>
    <w:rsid w:val="38880381"/>
    <w:rsid w:val="38A56747"/>
    <w:rsid w:val="38A61EBD"/>
    <w:rsid w:val="39A60A3A"/>
    <w:rsid w:val="3A145058"/>
    <w:rsid w:val="3ABA302D"/>
    <w:rsid w:val="3BBF2075"/>
    <w:rsid w:val="3DF04555"/>
    <w:rsid w:val="3E81126F"/>
    <w:rsid w:val="3F267C21"/>
    <w:rsid w:val="3F377722"/>
    <w:rsid w:val="3FD249C9"/>
    <w:rsid w:val="3FD35BB0"/>
    <w:rsid w:val="41D16217"/>
    <w:rsid w:val="41FB2085"/>
    <w:rsid w:val="433C35D6"/>
    <w:rsid w:val="43925232"/>
    <w:rsid w:val="43D31851"/>
    <w:rsid w:val="44081B00"/>
    <w:rsid w:val="44202481"/>
    <w:rsid w:val="455525A3"/>
    <w:rsid w:val="46E706D9"/>
    <w:rsid w:val="4734166A"/>
    <w:rsid w:val="478B7E39"/>
    <w:rsid w:val="48DB7079"/>
    <w:rsid w:val="49056F6B"/>
    <w:rsid w:val="4A51010F"/>
    <w:rsid w:val="4B865029"/>
    <w:rsid w:val="4CCB231D"/>
    <w:rsid w:val="4CE26E4A"/>
    <w:rsid w:val="4D346CA2"/>
    <w:rsid w:val="4D5352D2"/>
    <w:rsid w:val="4EB24179"/>
    <w:rsid w:val="4EC92350"/>
    <w:rsid w:val="4ED73EF6"/>
    <w:rsid w:val="4EE93236"/>
    <w:rsid w:val="4F245112"/>
    <w:rsid w:val="50966E31"/>
    <w:rsid w:val="509F769A"/>
    <w:rsid w:val="50E07529"/>
    <w:rsid w:val="513509E7"/>
    <w:rsid w:val="51C70EA9"/>
    <w:rsid w:val="51EC08C3"/>
    <w:rsid w:val="51EC3E10"/>
    <w:rsid w:val="52447D8A"/>
    <w:rsid w:val="52802819"/>
    <w:rsid w:val="52DD0612"/>
    <w:rsid w:val="53A34CDC"/>
    <w:rsid w:val="53B535AD"/>
    <w:rsid w:val="54942087"/>
    <w:rsid w:val="54F842B6"/>
    <w:rsid w:val="54FA12D1"/>
    <w:rsid w:val="54FC61C8"/>
    <w:rsid w:val="55525A1B"/>
    <w:rsid w:val="55670CF1"/>
    <w:rsid w:val="56015951"/>
    <w:rsid w:val="56145B63"/>
    <w:rsid w:val="561D1A23"/>
    <w:rsid w:val="564F3767"/>
    <w:rsid w:val="56CF5F6C"/>
    <w:rsid w:val="5890742B"/>
    <w:rsid w:val="58CB188F"/>
    <w:rsid w:val="58FB7FD2"/>
    <w:rsid w:val="59315140"/>
    <w:rsid w:val="59897D07"/>
    <w:rsid w:val="59CC5807"/>
    <w:rsid w:val="5B9757C7"/>
    <w:rsid w:val="5BD87229"/>
    <w:rsid w:val="5C983166"/>
    <w:rsid w:val="5D6B6358"/>
    <w:rsid w:val="5DAA22FE"/>
    <w:rsid w:val="5E837998"/>
    <w:rsid w:val="5EB12FFC"/>
    <w:rsid w:val="5F736BDA"/>
    <w:rsid w:val="5F781279"/>
    <w:rsid w:val="5FCF4505"/>
    <w:rsid w:val="5FDD090C"/>
    <w:rsid w:val="60810646"/>
    <w:rsid w:val="60A001E1"/>
    <w:rsid w:val="60A4688C"/>
    <w:rsid w:val="61533F93"/>
    <w:rsid w:val="61883CD3"/>
    <w:rsid w:val="631E50AA"/>
    <w:rsid w:val="63667F05"/>
    <w:rsid w:val="64092DFE"/>
    <w:rsid w:val="643F0A40"/>
    <w:rsid w:val="64F5745B"/>
    <w:rsid w:val="65410230"/>
    <w:rsid w:val="656071F2"/>
    <w:rsid w:val="668A5953"/>
    <w:rsid w:val="67163E36"/>
    <w:rsid w:val="67695929"/>
    <w:rsid w:val="677F432F"/>
    <w:rsid w:val="67A46ABB"/>
    <w:rsid w:val="67A760D9"/>
    <w:rsid w:val="68F213E8"/>
    <w:rsid w:val="697650C9"/>
    <w:rsid w:val="6BF1756B"/>
    <w:rsid w:val="6D2B4E93"/>
    <w:rsid w:val="6F4E31B9"/>
    <w:rsid w:val="6F5E1AA3"/>
    <w:rsid w:val="6FC63036"/>
    <w:rsid w:val="709519DA"/>
    <w:rsid w:val="70AD31F0"/>
    <w:rsid w:val="72BA7957"/>
    <w:rsid w:val="73E84A6D"/>
    <w:rsid w:val="75436242"/>
    <w:rsid w:val="75E10FF1"/>
    <w:rsid w:val="76434FBA"/>
    <w:rsid w:val="769A4E05"/>
    <w:rsid w:val="77474604"/>
    <w:rsid w:val="77562B79"/>
    <w:rsid w:val="7A566AB7"/>
    <w:rsid w:val="7AD24832"/>
    <w:rsid w:val="7B5A04B1"/>
    <w:rsid w:val="7B8914C5"/>
    <w:rsid w:val="7C5764FD"/>
    <w:rsid w:val="7CE51A9F"/>
    <w:rsid w:val="7F200B83"/>
    <w:rsid w:val="7F5D585A"/>
    <w:rsid w:val="7FFF65D6"/>
    <w:rsid w:val="BFFFA2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unhideWhenUsed/>
    <w:qFormat/>
    <w:uiPriority w:val="9"/>
    <w:pPr>
      <w:keepNext/>
      <w:keepLines/>
      <w:spacing w:before="260" w:after="260" w:line="416" w:lineRule="auto"/>
      <w:outlineLvl w:val="2"/>
    </w:pPr>
    <w:rPr>
      <w:b/>
      <w:bCs/>
      <w:sz w:val="32"/>
      <w:szCs w:val="32"/>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spacing w:before="100" w:beforeAutospacing="1" w:after="100" w:afterAutospacing="1"/>
      <w:jc w:val="left"/>
    </w:pPr>
    <w:rPr>
      <w:rFonts w:cs="Times New Roman"/>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Strong"/>
    <w:basedOn w:val="8"/>
    <w:qFormat/>
    <w:uiPriority w:val="0"/>
    <w:rPr>
      <w:b/>
      <w:bCs/>
    </w:rPr>
  </w:style>
  <w:style w:type="character" w:customStyle="1" w:styleId="10">
    <w:name w:val="页眉 字符"/>
    <w:basedOn w:val="8"/>
    <w:link w:val="4"/>
    <w:qFormat/>
    <w:uiPriority w:val="99"/>
    <w:rPr>
      <w:sz w:val="18"/>
      <w:szCs w:val="18"/>
    </w:rPr>
  </w:style>
  <w:style w:type="character" w:customStyle="1" w:styleId="11">
    <w:name w:val="页脚 字符"/>
    <w:basedOn w:val="8"/>
    <w:link w:val="3"/>
    <w:qFormat/>
    <w:uiPriority w:val="99"/>
    <w:rPr>
      <w:sz w:val="18"/>
      <w:szCs w:val="18"/>
    </w:rPr>
  </w:style>
  <w:style w:type="paragraph" w:styleId="12">
    <w:name w:val="List Paragraph"/>
    <w:basedOn w:val="1"/>
    <w:qFormat/>
    <w:uiPriority w:val="34"/>
    <w:pPr>
      <w:ind w:firstLine="420" w:firstLineChars="200"/>
    </w:pPr>
  </w:style>
  <w:style w:type="paragraph" w:customStyle="1" w:styleId="13">
    <w:name w:val="正文A"/>
    <w:basedOn w:val="1"/>
    <w:qFormat/>
    <w:uiPriority w:val="4"/>
    <w:pPr>
      <w:widowControl/>
      <w:spacing w:line="580" w:lineRule="exact"/>
      <w:ind w:firstLine="640"/>
      <w:jc w:val="left"/>
    </w:pPr>
    <w:rPr>
      <w:rFonts w:ascii="仿宋_GB2312" w:hAnsi="仿宋_GB2312" w:eastAsia="仿宋_GB2312" w:cs="宋体"/>
      <w:sz w:val="32"/>
      <w:szCs w:val="32"/>
    </w:rPr>
  </w:style>
  <w:style w:type="paragraph" w:customStyle="1" w:styleId="14">
    <w:name w:val="样式1"/>
    <w:basedOn w:val="1"/>
    <w:qFormat/>
    <w:uiPriority w:val="0"/>
  </w:style>
  <w:style w:type="character" w:customStyle="1" w:styleId="15">
    <w:name w:val="font21"/>
    <w:basedOn w:val="8"/>
    <w:uiPriority w:val="0"/>
    <w:rPr>
      <w:rFonts w:hint="eastAsia" w:ascii="宋体" w:hAnsi="宋体" w:eastAsia="宋体" w:cs="宋体"/>
      <w:color w:val="000000"/>
      <w:sz w:val="24"/>
      <w:szCs w:val="24"/>
      <w:u w:val="none"/>
    </w:rPr>
  </w:style>
  <w:style w:type="character" w:customStyle="1" w:styleId="16">
    <w:name w:val="font11"/>
    <w:basedOn w:val="8"/>
    <w:uiPriority w:val="0"/>
    <w:rPr>
      <w:rFonts w:hint="default" w:ascii="Calibri" w:hAnsi="Calibri" w:cs="Calibri"/>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57</Words>
  <Characters>328</Characters>
  <Lines>2</Lines>
  <Paragraphs>1</Paragraphs>
  <TotalTime>2</TotalTime>
  <ScaleCrop>false</ScaleCrop>
  <LinksUpToDate>false</LinksUpToDate>
  <CharactersWithSpaces>384</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2020-06-04T21:22:00Z</dcterms:created>
  <dc:creator>hongbing liu</dc:creator>
  <cp:lastModifiedBy>太阳</cp:lastModifiedBy>
  <dcterms:modified xsi:type="dcterms:W3CDTF">2024-10-11T19:38:20Z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4E2A216151A24EE5A190066F518526B7</vt:lpwstr>
  </property>
</Properties>
</file>