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民丰县安迪尔乡中心幼儿园</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部门单位名称（公章）：民丰县安迪尔乡中心幼儿园</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安迪尔乡中心幼儿园</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仿宋_GB2312" w:eastAsia="仿宋_GB2312" w:cs="仿宋_GB2312"/>
          <w:sz w:val="32"/>
          <w:szCs w:val="32"/>
          <w:highlight w:val="none"/>
        </w:rPr>
        <w:t>我</w:t>
      </w:r>
      <w:r>
        <w:rPr>
          <w:rFonts w:hint="eastAsia" w:ascii="仿宋_GB2312" w:hAnsi="仿宋_GB2312" w:eastAsia="仿宋_GB2312" w:cs="仿宋_GB2312"/>
          <w:sz w:val="32"/>
          <w:szCs w:val="32"/>
          <w:highlight w:val="none"/>
          <w:lang w:val="en-US" w:eastAsia="zh-CN"/>
        </w:rPr>
        <w:t>乡有两所幼儿园、中心幼儿园一所、在下的分幼儿园一所</w:t>
      </w:r>
      <w:r>
        <w:rPr>
          <w:rFonts w:hint="eastAsia" w:ascii="仿宋_GB2312" w:hAnsi="仿宋_GB2312" w:eastAsia="仿宋_GB2312" w:cs="仿宋_GB2312"/>
          <w:sz w:val="32"/>
          <w:szCs w:val="32"/>
          <w:highlight w:val="none"/>
        </w:rPr>
        <w:t>，现有</w:t>
      </w:r>
      <w:r>
        <w:rPr>
          <w:rFonts w:hint="eastAsia" w:ascii="仿宋_GB2312" w:hAnsi="仿宋_GB2312" w:eastAsia="仿宋_GB2312" w:cs="仿宋_GB2312"/>
          <w:sz w:val="32"/>
          <w:szCs w:val="32"/>
          <w:highlight w:val="none"/>
          <w:lang w:val="en-US" w:eastAsia="zh-CN"/>
        </w:rPr>
        <w:t>班级6个、全乡</w:t>
      </w:r>
      <w:r>
        <w:rPr>
          <w:rFonts w:hint="eastAsia" w:ascii="仿宋_GB2312" w:hAnsi="仿宋_GB2312" w:eastAsia="仿宋_GB2312" w:cs="仿宋_GB2312"/>
          <w:sz w:val="32"/>
          <w:szCs w:val="32"/>
          <w:highlight w:val="none"/>
        </w:rPr>
        <w:t>学生总数</w:t>
      </w:r>
      <w:r>
        <w:rPr>
          <w:rFonts w:hint="eastAsia" w:ascii="仿宋_GB2312" w:hAnsi="仿宋_GB2312" w:eastAsia="仿宋_GB2312" w:cs="仿宋_GB2312"/>
          <w:sz w:val="32"/>
          <w:szCs w:val="32"/>
          <w:highlight w:val="none"/>
          <w:lang w:val="en-US" w:eastAsia="zh-CN"/>
        </w:rPr>
        <w:t>80</w:t>
      </w:r>
      <w:r>
        <w:rPr>
          <w:rFonts w:hint="eastAsia" w:ascii="仿宋_GB2312" w:hAnsi="仿宋_GB2312" w:eastAsia="仿宋_GB2312" w:cs="仿宋_GB2312"/>
          <w:sz w:val="32"/>
          <w:szCs w:val="32"/>
          <w:highlight w:val="none"/>
        </w:rPr>
        <w:t>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其中中心幼儿园 39名、分幼儿园41名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班额人数把握在规定范围内。</w:t>
      </w:r>
      <w:r>
        <w:rPr>
          <w:rFonts w:hint="eastAsia" w:ascii="仿宋_GB2312" w:hAnsi="仿宋_GB2312" w:eastAsia="仿宋_GB2312" w:cs="仿宋_GB2312"/>
          <w:sz w:val="32"/>
          <w:szCs w:val="32"/>
          <w:highlight w:val="none"/>
          <w:lang w:eastAsia="zh-CN"/>
        </w:rPr>
        <w:t>现有</w:t>
      </w:r>
      <w:r>
        <w:rPr>
          <w:rFonts w:hint="eastAsia" w:ascii="仿宋_GB2312" w:hAnsi="仿宋_GB2312" w:eastAsia="仿宋_GB2312" w:cs="仿宋_GB2312"/>
          <w:sz w:val="32"/>
          <w:szCs w:val="32"/>
          <w:highlight w:val="none"/>
          <w:lang w:val="en-US" w:eastAsia="zh-CN"/>
        </w:rPr>
        <w:t>教职工9名，其中在编教师9名，临聘教师1名，厨师2名，保安2名。</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（1）2022年教育非直达资金（伙食费）本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2</w:t>
      </w:r>
      <w:r>
        <w:rPr>
          <w:rFonts w:hint="eastAsia" w:ascii="仿宋_GB2312" w:hAnsi="仿宋" w:eastAsia="仿宋_GB2312" w:cs="Times New Roman"/>
          <w:bCs/>
          <w:color w:val="auto"/>
          <w:sz w:val="32"/>
          <w:szCs w:val="32"/>
        </w:rPr>
        <w:t>所</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80</w:t>
      </w:r>
      <w:r>
        <w:rPr>
          <w:rFonts w:hint="eastAsia" w:ascii="仿宋_GB2312" w:hAnsi="仿宋" w:eastAsia="仿宋_GB2312" w:cs="Times New Roman"/>
          <w:bCs/>
          <w:color w:val="auto"/>
          <w:sz w:val="32"/>
          <w:szCs w:val="32"/>
        </w:rPr>
        <w:t>名学生、学生伙食补助天数220天。保障在园幼儿人数108人。通过项目的实施，有效减轻学生家庭负担，改善学校办学条件，提升学生身体素质。</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lang w:val="en-US" w:eastAsia="zh-CN"/>
        </w:rPr>
        <w:t>（2）</w:t>
      </w:r>
      <w:r>
        <w:rPr>
          <w:rFonts w:hint="eastAsia" w:ascii="仿宋_GB2312" w:hAnsi="仿宋" w:eastAsia="仿宋_GB2312" w:cs="Times New Roman"/>
          <w:bCs/>
          <w:color w:val="auto"/>
          <w:sz w:val="32"/>
          <w:szCs w:val="32"/>
        </w:rPr>
        <w:t>2022年学前三年免费教育保障资金（伙食费）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w:t>
      </w:r>
      <w:r>
        <w:rPr>
          <w:rFonts w:hint="eastAsia" w:ascii="仿宋_GB2312" w:hAnsi="仿宋" w:eastAsia="仿宋_GB2312" w:cs="Times New Roman"/>
          <w:bCs/>
          <w:color w:val="auto"/>
          <w:sz w:val="32"/>
          <w:szCs w:val="32"/>
          <w:lang w:eastAsia="zh-CN"/>
        </w:rPr>
        <w:t>乡有</w:t>
      </w:r>
      <w:r>
        <w:rPr>
          <w:rFonts w:hint="eastAsia" w:ascii="仿宋_GB2312" w:hAnsi="仿宋" w:eastAsia="仿宋_GB2312" w:cs="Times New Roman"/>
          <w:bCs/>
          <w:color w:val="auto"/>
          <w:sz w:val="32"/>
          <w:szCs w:val="32"/>
          <w:lang w:val="en-US" w:eastAsia="zh-CN"/>
        </w:rPr>
        <w:t>2</w:t>
      </w:r>
      <w:r>
        <w:rPr>
          <w:rFonts w:hint="eastAsia" w:ascii="仿宋_GB2312" w:hAnsi="仿宋" w:eastAsia="仿宋_GB2312" w:cs="Times New Roman"/>
          <w:bCs/>
          <w:color w:val="auto"/>
          <w:sz w:val="32"/>
          <w:szCs w:val="32"/>
        </w:rPr>
        <w:t>所</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，本所有</w:t>
      </w:r>
      <w:r>
        <w:rPr>
          <w:rFonts w:hint="eastAsia" w:ascii="仿宋_GB2312" w:hAnsi="仿宋" w:eastAsia="仿宋_GB2312" w:cs="Times New Roman"/>
          <w:bCs/>
          <w:color w:val="auto"/>
          <w:sz w:val="32"/>
          <w:szCs w:val="32"/>
          <w:lang w:val="en-US" w:eastAsia="zh-CN"/>
        </w:rPr>
        <w:t>80</w:t>
      </w:r>
      <w:r>
        <w:rPr>
          <w:rFonts w:hint="eastAsia" w:ascii="仿宋_GB2312" w:hAnsi="仿宋" w:eastAsia="仿宋_GB2312" w:cs="Times New Roman"/>
          <w:bCs/>
          <w:color w:val="auto"/>
          <w:sz w:val="32"/>
          <w:szCs w:val="32"/>
        </w:rPr>
        <w:t>名学生、学生伙食补助天数220天。保障在园幼儿人数108人。通过项目的实施，有效减轻学生家庭负担，改善学校办学条件，提升学生身体素质。</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lang w:val="en-US" w:eastAsia="zh-CN"/>
        </w:rPr>
      </w:pPr>
      <w:r>
        <w:rPr>
          <w:rFonts w:hint="eastAsia" w:ascii="仿宋_GB2312" w:hAnsi="仿宋" w:eastAsia="仿宋_GB2312" w:cs="Times New Roman"/>
          <w:bCs/>
          <w:color w:val="auto"/>
          <w:sz w:val="32"/>
          <w:szCs w:val="32"/>
          <w:lang w:val="en-US" w:eastAsia="zh-CN"/>
        </w:rPr>
        <w:t>（3）2</w:t>
      </w:r>
      <w:r>
        <w:rPr>
          <w:rFonts w:hint="eastAsia" w:ascii="仿宋_GB2312" w:hAnsi="仿宋" w:eastAsia="仿宋_GB2312" w:cs="Times New Roman"/>
          <w:bCs/>
          <w:color w:val="auto"/>
          <w:sz w:val="32"/>
          <w:szCs w:val="32"/>
        </w:rPr>
        <w:t>022年学前三年免费教育保障资金</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保教费）保障我县2个幼儿园</w:t>
      </w:r>
      <w:r>
        <w:rPr>
          <w:rFonts w:hint="eastAsia" w:ascii="仿宋_GB2312" w:hAnsi="仿宋" w:eastAsia="仿宋_GB2312" w:cs="Times New Roman"/>
          <w:bCs/>
          <w:color w:val="auto"/>
          <w:sz w:val="32"/>
          <w:szCs w:val="32"/>
          <w:lang w:val="en-US" w:eastAsia="zh-CN"/>
        </w:rPr>
        <w:t>80</w:t>
      </w:r>
      <w:r>
        <w:rPr>
          <w:rFonts w:hint="eastAsia" w:ascii="仿宋_GB2312" w:hAnsi="仿宋" w:eastAsia="仿宋_GB2312" w:cs="Times New Roman"/>
          <w:bCs/>
          <w:color w:val="auto"/>
          <w:sz w:val="32"/>
          <w:szCs w:val="32"/>
        </w:rPr>
        <w:t>人在校期间正常学习，按照每人每年1220元（保教费1100元/人、取暖费120元/人）的标准进行补助。通过项目实施，维持幼儿园正常运转、在教学活动和后勤服务等方面开支的费用。学前教育补助保教费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可以让孩子</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尤其是贫困家庭孩子接受学前教</w:t>
      </w:r>
      <w:r>
        <w:rPr>
          <w:rFonts w:hint="eastAsia" w:ascii="仿宋_GB2312" w:hAnsi="仿宋" w:eastAsia="仿宋_GB2312" w:cs="Times New Roman"/>
          <w:bCs/>
          <w:color w:val="auto"/>
          <w:sz w:val="32"/>
          <w:szCs w:val="32"/>
          <w:lang w:eastAsia="zh-CN"/>
        </w:rPr>
        <w:t>育。</w:t>
      </w:r>
      <w:r>
        <w:rPr>
          <w:rFonts w:hint="eastAsia" w:ascii="仿宋_GB2312" w:hAnsi="仿宋" w:eastAsia="仿宋_GB2312" w:cs="Times New Roman"/>
          <w:bCs/>
          <w:color w:val="auto"/>
          <w:sz w:val="32"/>
          <w:szCs w:val="32"/>
          <w:lang w:val="en-US" w:eastAsia="zh-CN"/>
        </w:rPr>
        <w:t xml:space="preserve"> </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lang w:val="en-US" w:eastAsia="zh-CN"/>
        </w:rPr>
        <w:t>（4）2022年学前三年免费教育保障资金（保教费）</w:t>
      </w:r>
      <w:r>
        <w:rPr>
          <w:rFonts w:hint="eastAsia" w:ascii="仿宋_GB2312" w:hAnsi="仿宋" w:eastAsia="仿宋_GB2312" w:cs="Times New Roman"/>
          <w:bCs/>
          <w:color w:val="auto"/>
          <w:sz w:val="32"/>
          <w:szCs w:val="32"/>
        </w:rPr>
        <w:t>保障我县2个幼儿园</w:t>
      </w:r>
      <w:r>
        <w:rPr>
          <w:rFonts w:hint="eastAsia" w:ascii="仿宋_GB2312" w:hAnsi="仿宋" w:eastAsia="仿宋_GB2312" w:cs="Times New Roman"/>
          <w:bCs/>
          <w:color w:val="auto"/>
          <w:sz w:val="32"/>
          <w:szCs w:val="32"/>
          <w:lang w:val="en-US" w:eastAsia="zh-CN"/>
        </w:rPr>
        <w:t>80</w:t>
      </w:r>
      <w:r>
        <w:rPr>
          <w:rFonts w:hint="eastAsia" w:ascii="仿宋_GB2312" w:hAnsi="仿宋" w:eastAsia="仿宋_GB2312" w:cs="Times New Roman"/>
          <w:bCs/>
          <w:color w:val="auto"/>
          <w:sz w:val="32"/>
          <w:szCs w:val="32"/>
        </w:rPr>
        <w:t>人在校期间正常学习，按照每人每年1220元（保教费1100元/人、取暖费120元/人）的标准进行补助。通过项目实施，维持幼儿园正常运转、在教学活动和后勤服务等方面开支的费用。学前教育补助保教费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可以让孩子</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尤其是贫困家庭孩子接受学前教</w:t>
      </w:r>
      <w:r>
        <w:rPr>
          <w:rFonts w:hint="eastAsia" w:ascii="仿宋_GB2312" w:hAnsi="仿宋" w:eastAsia="仿宋_GB2312" w:cs="Times New Roman"/>
          <w:bCs/>
          <w:color w:val="auto"/>
          <w:sz w:val="32"/>
          <w:szCs w:val="32"/>
          <w:lang w:eastAsia="zh-CN"/>
        </w:rPr>
        <w:t>育。</w:t>
      </w:r>
      <w:r>
        <w:rPr>
          <w:rFonts w:hint="eastAsia" w:ascii="仿宋_GB2312" w:hAnsi="仿宋" w:eastAsia="仿宋_GB2312" w:cs="Times New Roman"/>
          <w:bCs/>
          <w:color w:val="auto"/>
          <w:sz w:val="32"/>
          <w:szCs w:val="32"/>
          <w:lang w:val="en-US" w:eastAsia="zh-CN"/>
        </w:rPr>
        <w:t xml:space="preserve"> </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lang w:val="en-US" w:eastAsia="zh-CN"/>
        </w:rPr>
        <w:t>5</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县级配套教师培训经费</w:t>
      </w:r>
      <w:r>
        <w:rPr>
          <w:rFonts w:hint="eastAsia" w:ascii="仿宋_GB2312" w:hAnsi="仿宋" w:eastAsia="仿宋_GB2312" w:cs="Times New Roman"/>
          <w:bCs/>
          <w:color w:val="auto"/>
          <w:sz w:val="32"/>
          <w:szCs w:val="32"/>
          <w:lang w:val="en-US" w:eastAsia="zh-CN"/>
        </w:rPr>
        <w:t>：为大力实施教育优先发展战略，全面贯彻党的教育方针，提升我校教师教育教学能力，我园将为8名教师开展8次培训。通过定期不定期的教师培训工作，提高教师工作的积极性，促进教学，全面提升教育教学质量，增强教师教书育人的责任感，促进全县各学段教育教学质量的全面提升。</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lang w:val="en-US" w:eastAsia="zh-CN"/>
        </w:rPr>
        <w:t>6</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县配套用公费项目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lang w:val="en-US" w:eastAsia="zh-CN"/>
        </w:rPr>
        <w:t>保障我县2所幼儿园80名学生220天的伙食补助，按照每人每年516元标准进行补助。通过项目实施，减轻学前教育困难家庭幼儿生活费负担，促进教育资源公平均衡配置。</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190.7万元，预算数（调整后）142.79万元，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138.11万元，执行率96.72%。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9.21万元，预算数（调整后）9.21万元，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6.69万元，执行率72.64%。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138.11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138.1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138.11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安迪尔乡中心幼儿园</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4.68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4.68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9.21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6.69</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72.64</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安迪尔乡中心幼儿园</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0.55</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县配套学前教育经费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4.13</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4.31</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2022年学前三年免费教育保障资金（伙食费）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0.33</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1.08</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3.49</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138.11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138.1</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138.11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9.21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6.69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72.64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4.31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4.31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0.33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0.33</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1.08</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3.49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0.97</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27.8%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9.21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6.69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72.64%</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2022年教育非直达资金（伙食费）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享受资助补助政策学生数，预期指标是大于等于80人，年中绩效运行监控完成值是80人，本次评价实际完成值是80人，达到预期目标。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2023年度部门整体支出绩效自评综合得分99.53分，评价结果为“优”。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B07BA"/>
    <w:rsid w:val="021C20B0"/>
    <w:rsid w:val="02273307"/>
    <w:rsid w:val="025F60B9"/>
    <w:rsid w:val="02656D15"/>
    <w:rsid w:val="02965E8D"/>
    <w:rsid w:val="02FB6F8B"/>
    <w:rsid w:val="03163578"/>
    <w:rsid w:val="037F0728"/>
    <w:rsid w:val="03D360F1"/>
    <w:rsid w:val="03D6322A"/>
    <w:rsid w:val="04440438"/>
    <w:rsid w:val="04D06597"/>
    <w:rsid w:val="04E4679D"/>
    <w:rsid w:val="052C3A5E"/>
    <w:rsid w:val="053C376F"/>
    <w:rsid w:val="056B2C09"/>
    <w:rsid w:val="05731446"/>
    <w:rsid w:val="05CB6613"/>
    <w:rsid w:val="05FF16D0"/>
    <w:rsid w:val="065340BF"/>
    <w:rsid w:val="06696209"/>
    <w:rsid w:val="071976DD"/>
    <w:rsid w:val="07505305"/>
    <w:rsid w:val="079B1AB6"/>
    <w:rsid w:val="08CC471F"/>
    <w:rsid w:val="098242D9"/>
    <w:rsid w:val="09BB33DC"/>
    <w:rsid w:val="0A417E47"/>
    <w:rsid w:val="0A662AB3"/>
    <w:rsid w:val="0A86769F"/>
    <w:rsid w:val="0AFE5A2E"/>
    <w:rsid w:val="0B6F48AA"/>
    <w:rsid w:val="0BC64CF0"/>
    <w:rsid w:val="0BD52702"/>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BC0931"/>
    <w:rsid w:val="11F017F5"/>
    <w:rsid w:val="120D1EEA"/>
    <w:rsid w:val="123F73AE"/>
    <w:rsid w:val="127423D4"/>
    <w:rsid w:val="12D07449"/>
    <w:rsid w:val="12E977B3"/>
    <w:rsid w:val="13072B53"/>
    <w:rsid w:val="141E6282"/>
    <w:rsid w:val="1438599A"/>
    <w:rsid w:val="14775B53"/>
    <w:rsid w:val="14F27B7B"/>
    <w:rsid w:val="163A6974"/>
    <w:rsid w:val="172267ED"/>
    <w:rsid w:val="18344297"/>
    <w:rsid w:val="18583B52"/>
    <w:rsid w:val="188924B6"/>
    <w:rsid w:val="189E58C4"/>
    <w:rsid w:val="197406AD"/>
    <w:rsid w:val="1999359E"/>
    <w:rsid w:val="19E24A4E"/>
    <w:rsid w:val="19F6744F"/>
    <w:rsid w:val="19FE0A5D"/>
    <w:rsid w:val="1B1332CA"/>
    <w:rsid w:val="1BFA024C"/>
    <w:rsid w:val="1C94135C"/>
    <w:rsid w:val="1CBE5A05"/>
    <w:rsid w:val="1CDE4763"/>
    <w:rsid w:val="1CFB4A3F"/>
    <w:rsid w:val="1D073223"/>
    <w:rsid w:val="1D312343"/>
    <w:rsid w:val="1D5925E2"/>
    <w:rsid w:val="1D95187B"/>
    <w:rsid w:val="1DAF651A"/>
    <w:rsid w:val="1DD83B52"/>
    <w:rsid w:val="1F2E40D0"/>
    <w:rsid w:val="1F90448E"/>
    <w:rsid w:val="1F924506"/>
    <w:rsid w:val="1FBB36D6"/>
    <w:rsid w:val="200F4073"/>
    <w:rsid w:val="20E01B07"/>
    <w:rsid w:val="210248A0"/>
    <w:rsid w:val="211F7E62"/>
    <w:rsid w:val="215A51EF"/>
    <w:rsid w:val="21E22F6F"/>
    <w:rsid w:val="229016F2"/>
    <w:rsid w:val="234268C5"/>
    <w:rsid w:val="236F5373"/>
    <w:rsid w:val="23741243"/>
    <w:rsid w:val="23820713"/>
    <w:rsid w:val="247B4D27"/>
    <w:rsid w:val="24B86128"/>
    <w:rsid w:val="25930A3E"/>
    <w:rsid w:val="26122C15"/>
    <w:rsid w:val="28F109D1"/>
    <w:rsid w:val="290C455A"/>
    <w:rsid w:val="291F3644"/>
    <w:rsid w:val="29C30BFF"/>
    <w:rsid w:val="2A5E264B"/>
    <w:rsid w:val="2AF4485D"/>
    <w:rsid w:val="2AF77D81"/>
    <w:rsid w:val="2B043BBD"/>
    <w:rsid w:val="2B0B7A6F"/>
    <w:rsid w:val="2B131174"/>
    <w:rsid w:val="2B4341EB"/>
    <w:rsid w:val="2B513E61"/>
    <w:rsid w:val="2C041663"/>
    <w:rsid w:val="2C454A8E"/>
    <w:rsid w:val="2C9909D9"/>
    <w:rsid w:val="2C9E18B5"/>
    <w:rsid w:val="2D8F0F02"/>
    <w:rsid w:val="2DC21BBA"/>
    <w:rsid w:val="2DCC2272"/>
    <w:rsid w:val="2DE92A48"/>
    <w:rsid w:val="2E501733"/>
    <w:rsid w:val="2E913C19"/>
    <w:rsid w:val="2EE7129F"/>
    <w:rsid w:val="2EF80FF5"/>
    <w:rsid w:val="30252FB1"/>
    <w:rsid w:val="307179D7"/>
    <w:rsid w:val="30A967BD"/>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6E918C3"/>
    <w:rsid w:val="37213B34"/>
    <w:rsid w:val="37847141"/>
    <w:rsid w:val="379C4287"/>
    <w:rsid w:val="37E01ED0"/>
    <w:rsid w:val="38A61EBD"/>
    <w:rsid w:val="38BD6D70"/>
    <w:rsid w:val="3A176C78"/>
    <w:rsid w:val="3A474574"/>
    <w:rsid w:val="3A560600"/>
    <w:rsid w:val="3A6433F2"/>
    <w:rsid w:val="3ABA302D"/>
    <w:rsid w:val="3AE1577B"/>
    <w:rsid w:val="3B275995"/>
    <w:rsid w:val="3B31606E"/>
    <w:rsid w:val="3BBF2075"/>
    <w:rsid w:val="3C1B2B4E"/>
    <w:rsid w:val="3D066B28"/>
    <w:rsid w:val="3E502FE6"/>
    <w:rsid w:val="3F9A26C0"/>
    <w:rsid w:val="3FD249C9"/>
    <w:rsid w:val="3FD35BB0"/>
    <w:rsid w:val="4004687B"/>
    <w:rsid w:val="40C329C5"/>
    <w:rsid w:val="40F5701C"/>
    <w:rsid w:val="421B0BD5"/>
    <w:rsid w:val="421C6A8E"/>
    <w:rsid w:val="42715D92"/>
    <w:rsid w:val="42D40A95"/>
    <w:rsid w:val="42D76E89"/>
    <w:rsid w:val="42ED7A1D"/>
    <w:rsid w:val="433C35D6"/>
    <w:rsid w:val="44081B00"/>
    <w:rsid w:val="441D492B"/>
    <w:rsid w:val="44202481"/>
    <w:rsid w:val="442B745C"/>
    <w:rsid w:val="455525A3"/>
    <w:rsid w:val="455F5770"/>
    <w:rsid w:val="46CC7CC3"/>
    <w:rsid w:val="479C0BE3"/>
    <w:rsid w:val="47BE6FFB"/>
    <w:rsid w:val="490A03E5"/>
    <w:rsid w:val="4CAD59B7"/>
    <w:rsid w:val="4CE26E4A"/>
    <w:rsid w:val="4CEE4B39"/>
    <w:rsid w:val="4D235B00"/>
    <w:rsid w:val="4D5352D2"/>
    <w:rsid w:val="4DE56F14"/>
    <w:rsid w:val="4F245112"/>
    <w:rsid w:val="50761DD0"/>
    <w:rsid w:val="50966E31"/>
    <w:rsid w:val="50AC5F11"/>
    <w:rsid w:val="50E644F7"/>
    <w:rsid w:val="50FC6FB1"/>
    <w:rsid w:val="510C3E14"/>
    <w:rsid w:val="51936956"/>
    <w:rsid w:val="51C70EA9"/>
    <w:rsid w:val="51EC08C3"/>
    <w:rsid w:val="529463CC"/>
    <w:rsid w:val="52C11839"/>
    <w:rsid w:val="52DD0612"/>
    <w:rsid w:val="535401CD"/>
    <w:rsid w:val="53616619"/>
    <w:rsid w:val="5399032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A0E2CE8"/>
    <w:rsid w:val="5A5005EF"/>
    <w:rsid w:val="5AE70C2F"/>
    <w:rsid w:val="5B317016"/>
    <w:rsid w:val="5B612024"/>
    <w:rsid w:val="5B844DDF"/>
    <w:rsid w:val="5B9757C7"/>
    <w:rsid w:val="5BD87229"/>
    <w:rsid w:val="5C464E4E"/>
    <w:rsid w:val="5C47767B"/>
    <w:rsid w:val="5CC72C7C"/>
    <w:rsid w:val="5D7F5CA3"/>
    <w:rsid w:val="5DAB0D44"/>
    <w:rsid w:val="5DC22EEB"/>
    <w:rsid w:val="5E3C300C"/>
    <w:rsid w:val="5E807869"/>
    <w:rsid w:val="5EB12FFC"/>
    <w:rsid w:val="5EC119C1"/>
    <w:rsid w:val="5ECD3880"/>
    <w:rsid w:val="5EF13F01"/>
    <w:rsid w:val="5F4E1321"/>
    <w:rsid w:val="5FCF4505"/>
    <w:rsid w:val="60413014"/>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163E36"/>
    <w:rsid w:val="67294323"/>
    <w:rsid w:val="677133AB"/>
    <w:rsid w:val="67A46ABB"/>
    <w:rsid w:val="67A760D9"/>
    <w:rsid w:val="68141A48"/>
    <w:rsid w:val="68301DD3"/>
    <w:rsid w:val="689678DC"/>
    <w:rsid w:val="68E935B2"/>
    <w:rsid w:val="68F071D2"/>
    <w:rsid w:val="69226B8E"/>
    <w:rsid w:val="697650C9"/>
    <w:rsid w:val="697E7CC7"/>
    <w:rsid w:val="6990449C"/>
    <w:rsid w:val="6A3D62B1"/>
    <w:rsid w:val="6B911985"/>
    <w:rsid w:val="6BF1756B"/>
    <w:rsid w:val="6C4770EF"/>
    <w:rsid w:val="6CC17A4F"/>
    <w:rsid w:val="6D920313"/>
    <w:rsid w:val="6DAF6739"/>
    <w:rsid w:val="6DE0371D"/>
    <w:rsid w:val="6E620CF2"/>
    <w:rsid w:val="6EC45659"/>
    <w:rsid w:val="6ECE0318"/>
    <w:rsid w:val="6F461069"/>
    <w:rsid w:val="6F56616E"/>
    <w:rsid w:val="6F5E1AA3"/>
    <w:rsid w:val="6F8D5764"/>
    <w:rsid w:val="6FC0465E"/>
    <w:rsid w:val="6FC63036"/>
    <w:rsid w:val="6FEC5765"/>
    <w:rsid w:val="702A415B"/>
    <w:rsid w:val="70AD31F0"/>
    <w:rsid w:val="70E9255F"/>
    <w:rsid w:val="719649E7"/>
    <w:rsid w:val="71E830CF"/>
    <w:rsid w:val="72310225"/>
    <w:rsid w:val="72C87F7F"/>
    <w:rsid w:val="741F01E3"/>
    <w:rsid w:val="75E10FF1"/>
    <w:rsid w:val="763F556D"/>
    <w:rsid w:val="76434FBA"/>
    <w:rsid w:val="76570E0B"/>
    <w:rsid w:val="769A4E05"/>
    <w:rsid w:val="76D724E7"/>
    <w:rsid w:val="76D8191F"/>
    <w:rsid w:val="7772178F"/>
    <w:rsid w:val="78256FA1"/>
    <w:rsid w:val="78333936"/>
    <w:rsid w:val="78A7271A"/>
    <w:rsid w:val="78D32311"/>
    <w:rsid w:val="7912435D"/>
    <w:rsid w:val="7A362281"/>
    <w:rsid w:val="7B2A25EA"/>
    <w:rsid w:val="7B5A04B1"/>
    <w:rsid w:val="7BF40CDF"/>
    <w:rsid w:val="7C5764FD"/>
    <w:rsid w:val="7C723EE6"/>
    <w:rsid w:val="7C734CF6"/>
    <w:rsid w:val="7E4109C5"/>
    <w:rsid w:val="7EA70AA9"/>
    <w:rsid w:val="7F200B83"/>
    <w:rsid w:val="7F3EBE20"/>
    <w:rsid w:val="7F5D585A"/>
    <w:rsid w:val="7FCA0E68"/>
    <w:rsid w:val="7FD23705"/>
    <w:rsid w:val="9DEE8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2024-10-11T19:37:58Z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