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民丰县新村幼儿园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部门单位名称（公章）：民丰县新村幼儿园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新村幼儿园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540" w:lineRule="exact"/>
        <w:ind w:firstLine="579" w:firstLineChars="181"/>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 xml:space="preserve">民丰县尼雅新村幼儿园单位编制数15人，实有人数10人，其中：在职 </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人，离休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人；行政编制0人，参照公务员法管理事业人员0人，非参公事业人员0人</w:t>
      </w:r>
      <w:r>
        <w:rPr>
          <w:rFonts w:hint="eastAsia" w:ascii="仿宋_GB2312" w:hAnsi="仿宋" w:eastAsia="仿宋_GB2312" w:cs="Times New Roman"/>
          <w:bCs/>
          <w:color w:val="000000" w:themeColor="text1"/>
          <w:kern w:val="2"/>
          <w:sz w:val="32"/>
          <w:szCs w:val="32"/>
          <w:lang w:val="en-US" w:eastAsia="zh-CN" w:bidi="ar-SA"/>
          <w14:textFill>
            <w14:solidFill>
              <w14:schemeClr w14:val="tx1"/>
            </w14:solidFill>
          </w14:textFill>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（1）2022年学前三年免费教育保障资金（伙食费）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伙食费项目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本校是所</w:t>
      </w:r>
      <w:r>
        <w:rPr>
          <w:rFonts w:hint="eastAsia" w:ascii="仿宋_GB2312" w:hAnsi="仿宋" w:eastAsia="仿宋_GB2312" w:cs="Times New Roman"/>
          <w:bCs/>
          <w:color w:val="auto"/>
          <w:sz w:val="32"/>
          <w:szCs w:val="32"/>
          <w:lang w:eastAsia="zh-CN"/>
        </w:rPr>
        <w:t>幼儿园</w:t>
      </w:r>
      <w:r>
        <w:rPr>
          <w:rFonts w:hint="eastAsia" w:ascii="仿宋_GB2312" w:hAnsi="仿宋" w:eastAsia="仿宋_GB2312" w:cs="Times New Roman"/>
          <w:bCs/>
          <w:color w:val="auto"/>
          <w:sz w:val="32"/>
          <w:szCs w:val="32"/>
        </w:rPr>
        <w:t>阶段学校，本所有</w:t>
      </w:r>
      <w:r>
        <w:rPr>
          <w:rFonts w:hint="eastAsia" w:ascii="仿宋_GB2312" w:hAnsi="仿宋" w:eastAsia="仿宋_GB2312" w:cs="Times New Roman"/>
          <w:bCs/>
          <w:color w:val="auto"/>
          <w:sz w:val="32"/>
          <w:szCs w:val="32"/>
          <w:lang w:eastAsia="zh-CN"/>
        </w:rPr>
        <w:t>87</w:t>
      </w:r>
      <w:r>
        <w:rPr>
          <w:rFonts w:hint="eastAsia" w:ascii="仿宋_GB2312" w:hAnsi="仿宋" w:eastAsia="仿宋_GB2312" w:cs="Times New Roman"/>
          <w:bCs/>
          <w:color w:val="auto"/>
          <w:sz w:val="32"/>
          <w:szCs w:val="32"/>
        </w:rPr>
        <w:t>名学生、每生每年</w:t>
      </w:r>
      <w:r>
        <w:rPr>
          <w:rFonts w:hint="eastAsia" w:ascii="仿宋_GB2312" w:hAnsi="仿宋" w:eastAsia="仿宋_GB2312" w:cs="Times New Roman"/>
          <w:bCs/>
          <w:color w:val="auto"/>
          <w:sz w:val="32"/>
          <w:szCs w:val="32"/>
          <w:lang w:val="en-US" w:eastAsia="zh-CN"/>
        </w:rPr>
        <w:t>1450</w:t>
      </w:r>
      <w:r>
        <w:rPr>
          <w:rFonts w:hint="eastAsia" w:ascii="仿宋_GB2312" w:hAnsi="仿宋" w:eastAsia="仿宋_GB2312" w:cs="Times New Roman"/>
          <w:bCs/>
          <w:color w:val="auto"/>
          <w:sz w:val="32"/>
          <w:szCs w:val="32"/>
        </w:rPr>
        <w:t>元的标准进行</w:t>
      </w:r>
      <w:r>
        <w:rPr>
          <w:rFonts w:hint="eastAsia" w:ascii="仿宋_GB2312" w:hAnsi="仿宋" w:eastAsia="仿宋_GB2312" w:cs="Times New Roman"/>
          <w:bCs/>
          <w:color w:val="auto"/>
          <w:sz w:val="32"/>
          <w:szCs w:val="32"/>
          <w:lang w:eastAsia="zh-CN"/>
        </w:rPr>
        <w:t>伙食费</w:t>
      </w:r>
      <w:r>
        <w:rPr>
          <w:rFonts w:hint="eastAsia" w:ascii="仿宋_GB2312" w:hAnsi="仿宋" w:eastAsia="仿宋_GB2312" w:cs="Times New Roman"/>
          <w:bCs/>
          <w:color w:val="auto"/>
          <w:sz w:val="32"/>
          <w:szCs w:val="32"/>
        </w:rPr>
        <w:t>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2022年新疆西藏等地区教育特殊补助资金（保教费）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本校是3所幼儿园阶段学校，本所有87名学生、每生每年1100元的标准进行</w:t>
      </w:r>
      <w:r>
        <w:rPr>
          <w:rFonts w:hint="eastAsia" w:ascii="仿宋" w:hAnsi="仿宋" w:eastAsia="仿宋" w:cs="Times New Roman"/>
          <w:bCs/>
          <w:color w:val="auto"/>
          <w:sz w:val="32"/>
          <w:szCs w:val="32"/>
        </w:rPr>
        <w:t>保教费</w:t>
      </w:r>
      <w:r>
        <w:rPr>
          <w:rFonts w:hint="eastAsia" w:ascii="仿宋_GB2312" w:hAnsi="仿宋" w:eastAsia="仿宋_GB2312" w:cs="Times New Roman"/>
          <w:bCs/>
          <w:color w:val="auto"/>
          <w:kern w:val="2"/>
          <w:sz w:val="32"/>
          <w:szCs w:val="32"/>
          <w:lang w:val="en-US" w:eastAsia="zh-CN" w:bidi="ar-SA"/>
        </w:rPr>
        <w:t>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：为大力实施教育优先发展战略，全面贯彻党的教育方针，提升我校教师教育教学能力，我校将为9名教师开展6次培训。 目标2：通过定期不定期的教师培训工作，提高教师工作的积极性，促进教学，全面提升教育教学质量，增强教师教书育人的责任感，促进全县各学段教育教学质量的全面提升。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县配套学前教育经费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主要用于保障我县3所幼儿园阶段小学87名学生的正常运转，按照每人每年516元进行补助。通过项目的实施，有效保障学校正常运转，同时提供给师生安全舒适的教学和学习环境。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2022年教育非直达资金（伙食费）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本校是3所幼儿园阶段学校，本所有87名学生、每生每年1450元的标准进行伙食费补贴。通过项目的实施，有效减轻学生家庭负担，改善学校办学条件，提升学生身体素质。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Times New Roman"/>
          <w:bCs/>
          <w:color w:val="auto"/>
          <w:sz w:val="32"/>
          <w:szCs w:val="32"/>
        </w:rPr>
      </w:pPr>
      <w:r>
        <w:rPr>
          <w:rFonts w:hint="eastAsia" w:ascii="仿宋" w:hAnsi="仿宋" w:eastAsia="仿宋" w:cs="Times New Roman"/>
          <w:bCs/>
          <w:color w:val="auto"/>
          <w:sz w:val="32"/>
          <w:szCs w:val="32"/>
        </w:rPr>
        <w:t>2022年学前三年免费教育保障资金</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保教费）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本校是3所幼儿园阶段学校，本所有87名学生、每生每年1100元的标准进行</w:t>
      </w:r>
      <w:r>
        <w:rPr>
          <w:rFonts w:hint="eastAsia" w:ascii="仿宋" w:hAnsi="仿宋" w:eastAsia="仿宋" w:cs="Times New Roman"/>
          <w:bCs/>
          <w:color w:val="auto"/>
          <w:sz w:val="32"/>
          <w:szCs w:val="32"/>
        </w:rPr>
        <w:t>保教费</w:t>
      </w:r>
      <w:r>
        <w:rPr>
          <w:rFonts w:hint="eastAsia" w:ascii="仿宋_GB2312" w:hAnsi="仿宋" w:eastAsia="仿宋_GB2312" w:cs="Times New Roman"/>
          <w:bCs/>
          <w:color w:val="auto"/>
          <w:kern w:val="2"/>
          <w:sz w:val="32"/>
          <w:szCs w:val="32"/>
          <w:lang w:val="en-US" w:eastAsia="zh-CN" w:bidi="ar-SA"/>
        </w:rPr>
        <w:t>补贴。通过项目的实施，有效减轻学生家庭负担，改善学校办学条件，提升学生身体素质。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241.55万元，预算数（调整后）212.01万元，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206.65万元，执行率97.47%。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4.15万元，预算数（调整后）3.15万元，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3.15万元，执行率75.09%。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新村幼儿园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206.6546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206.65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0.0046万元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206.6546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新村幼儿园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5.36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5.36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4.15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3.15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75.09</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新村幼儿园</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eastAsia" w:ascii="Calibri" w:hAnsi="Calibri" w:cs="Calibri"/>
                <w:i w:val="0"/>
                <w:color w:val="000000"/>
                <w:kern w:val="0"/>
                <w:sz w:val="24"/>
                <w:szCs w:val="24"/>
                <w:u w:val="none"/>
                <w:lang w:val="en-US" w:eastAsia="zh-CN" w:bidi="ar"/>
              </w:rPr>
              <w:t>0.87</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eastAsia" w:ascii="Calibri" w:hAnsi="Calibri" w:cs="Calibri"/>
                <w:i w:val="0"/>
                <w:color w:val="000000"/>
                <w:kern w:val="0"/>
                <w:sz w:val="24"/>
                <w:szCs w:val="24"/>
                <w:u w:val="none"/>
                <w:lang w:val="en-US" w:eastAsia="zh-CN" w:bidi="ar"/>
              </w:rPr>
              <w:t>4.49</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0.02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1.31</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0.4</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2.42</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新村幼儿园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206.6546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206.65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0.0046万元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206.6546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4.15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3.15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75.09</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0.02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0.01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50%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2.42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1.83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75.62%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4.15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75.09%</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2022年新疆西藏等地区教育特殊补助资金（保教费）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方正楷体简体" w:eastAsia="仿宋_GB2312" w:cs="宋体"/>
          <w:color w:val="auto"/>
          <w:sz w:val="32"/>
          <w:szCs w:val="32"/>
          <w:highlight w:val="none"/>
          <w:lang w:val="en-US" w:eastAsia="zh-CN"/>
        </w:rPr>
        <w:t>（3）</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享受资助补助政策学生数，预期指标是大于等于87人，年中绩效运行监控完成值是87人，本次评价实际完成值是87人，达到预期目标。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2023年度部门整体支出绩效自评综合得分99.71分，评价结果为“优”。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5F60B9"/>
    <w:rsid w:val="02656D15"/>
    <w:rsid w:val="02965E8D"/>
    <w:rsid w:val="03163578"/>
    <w:rsid w:val="037F0728"/>
    <w:rsid w:val="03D360F1"/>
    <w:rsid w:val="03D6322A"/>
    <w:rsid w:val="04440438"/>
    <w:rsid w:val="04D06597"/>
    <w:rsid w:val="04E4679D"/>
    <w:rsid w:val="053C376F"/>
    <w:rsid w:val="056B2C09"/>
    <w:rsid w:val="05731446"/>
    <w:rsid w:val="05CB6613"/>
    <w:rsid w:val="065340BF"/>
    <w:rsid w:val="06696209"/>
    <w:rsid w:val="071976DD"/>
    <w:rsid w:val="07505305"/>
    <w:rsid w:val="08CC471F"/>
    <w:rsid w:val="098242D9"/>
    <w:rsid w:val="0A417E47"/>
    <w:rsid w:val="0A662AB3"/>
    <w:rsid w:val="0A86769F"/>
    <w:rsid w:val="0B6F48AA"/>
    <w:rsid w:val="0BC64CF0"/>
    <w:rsid w:val="0C1013EF"/>
    <w:rsid w:val="0C354671"/>
    <w:rsid w:val="0C993046"/>
    <w:rsid w:val="0CB7795C"/>
    <w:rsid w:val="0D19113A"/>
    <w:rsid w:val="0D1922F1"/>
    <w:rsid w:val="0D9F0DF1"/>
    <w:rsid w:val="0DBD196E"/>
    <w:rsid w:val="0E325CFD"/>
    <w:rsid w:val="0E737D65"/>
    <w:rsid w:val="0F471127"/>
    <w:rsid w:val="0F764A1E"/>
    <w:rsid w:val="0FA5497F"/>
    <w:rsid w:val="10DF6E84"/>
    <w:rsid w:val="119055B4"/>
    <w:rsid w:val="11F017F5"/>
    <w:rsid w:val="120D1EEA"/>
    <w:rsid w:val="123F73AE"/>
    <w:rsid w:val="127423D4"/>
    <w:rsid w:val="12D07449"/>
    <w:rsid w:val="12E977B3"/>
    <w:rsid w:val="13072B53"/>
    <w:rsid w:val="1438599A"/>
    <w:rsid w:val="14775B53"/>
    <w:rsid w:val="14F27B7B"/>
    <w:rsid w:val="18344297"/>
    <w:rsid w:val="188924B6"/>
    <w:rsid w:val="189E58C4"/>
    <w:rsid w:val="197406AD"/>
    <w:rsid w:val="1999359E"/>
    <w:rsid w:val="19E24A4E"/>
    <w:rsid w:val="19F6744F"/>
    <w:rsid w:val="19FE0A5D"/>
    <w:rsid w:val="1B1332CA"/>
    <w:rsid w:val="1BFA024C"/>
    <w:rsid w:val="1C94135C"/>
    <w:rsid w:val="1CBE5A05"/>
    <w:rsid w:val="1CDE4763"/>
    <w:rsid w:val="1CFB4A3F"/>
    <w:rsid w:val="1D073223"/>
    <w:rsid w:val="1D95187B"/>
    <w:rsid w:val="1DAF651A"/>
    <w:rsid w:val="1F2E40D0"/>
    <w:rsid w:val="1F90448E"/>
    <w:rsid w:val="1F924506"/>
    <w:rsid w:val="1FBB36D6"/>
    <w:rsid w:val="200F4073"/>
    <w:rsid w:val="210248A0"/>
    <w:rsid w:val="211F7E62"/>
    <w:rsid w:val="215A51EF"/>
    <w:rsid w:val="21E22F6F"/>
    <w:rsid w:val="229016F2"/>
    <w:rsid w:val="236F5373"/>
    <w:rsid w:val="23741243"/>
    <w:rsid w:val="23820713"/>
    <w:rsid w:val="247B4D27"/>
    <w:rsid w:val="24B86128"/>
    <w:rsid w:val="25930A3E"/>
    <w:rsid w:val="26122C15"/>
    <w:rsid w:val="28F109D1"/>
    <w:rsid w:val="291F3644"/>
    <w:rsid w:val="29C30BFF"/>
    <w:rsid w:val="2A5E264B"/>
    <w:rsid w:val="2AF4485D"/>
    <w:rsid w:val="2AF77D81"/>
    <w:rsid w:val="2B043BBD"/>
    <w:rsid w:val="2B0B7A6F"/>
    <w:rsid w:val="2B131174"/>
    <w:rsid w:val="2B4341EB"/>
    <w:rsid w:val="2B513E61"/>
    <w:rsid w:val="2C041663"/>
    <w:rsid w:val="2C454A8E"/>
    <w:rsid w:val="2C9E18B5"/>
    <w:rsid w:val="2D8F0F02"/>
    <w:rsid w:val="2DC21BBA"/>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E1577B"/>
    <w:rsid w:val="3B31606E"/>
    <w:rsid w:val="3BBF2075"/>
    <w:rsid w:val="3C1B2B4E"/>
    <w:rsid w:val="3D066B28"/>
    <w:rsid w:val="3E502FE6"/>
    <w:rsid w:val="3F9A26C0"/>
    <w:rsid w:val="3FD249C9"/>
    <w:rsid w:val="3FD35BB0"/>
    <w:rsid w:val="4004687B"/>
    <w:rsid w:val="40C329C5"/>
    <w:rsid w:val="421B0BD5"/>
    <w:rsid w:val="421C6A8E"/>
    <w:rsid w:val="42715D92"/>
    <w:rsid w:val="42D76E89"/>
    <w:rsid w:val="42ED7A1D"/>
    <w:rsid w:val="433C35D6"/>
    <w:rsid w:val="44081B00"/>
    <w:rsid w:val="441D492B"/>
    <w:rsid w:val="44202481"/>
    <w:rsid w:val="455525A3"/>
    <w:rsid w:val="455F5770"/>
    <w:rsid w:val="46CC7CC3"/>
    <w:rsid w:val="479C0BE3"/>
    <w:rsid w:val="490A03E5"/>
    <w:rsid w:val="4CAD59B7"/>
    <w:rsid w:val="4CE26E4A"/>
    <w:rsid w:val="4CEE4B39"/>
    <w:rsid w:val="4D5352D2"/>
    <w:rsid w:val="4DE56F14"/>
    <w:rsid w:val="4F245112"/>
    <w:rsid w:val="50966E31"/>
    <w:rsid w:val="50AC5F11"/>
    <w:rsid w:val="50E644F7"/>
    <w:rsid w:val="50FC6FB1"/>
    <w:rsid w:val="51936956"/>
    <w:rsid w:val="51C70EA9"/>
    <w:rsid w:val="51EC08C3"/>
    <w:rsid w:val="529463CC"/>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C464E4E"/>
    <w:rsid w:val="5C47767B"/>
    <w:rsid w:val="5CC72C7C"/>
    <w:rsid w:val="5D7F5CA3"/>
    <w:rsid w:val="5DAB0D44"/>
    <w:rsid w:val="5E807869"/>
    <w:rsid w:val="5EB12FFC"/>
    <w:rsid w:val="5EC119C1"/>
    <w:rsid w:val="5ECD3880"/>
    <w:rsid w:val="5EF13F01"/>
    <w:rsid w:val="5F4E1321"/>
    <w:rsid w:val="5FCF4505"/>
    <w:rsid w:val="60810646"/>
    <w:rsid w:val="60861653"/>
    <w:rsid w:val="60A001E1"/>
    <w:rsid w:val="61533F93"/>
    <w:rsid w:val="61CC3282"/>
    <w:rsid w:val="62B138A5"/>
    <w:rsid w:val="62FF41BC"/>
    <w:rsid w:val="649E5A54"/>
    <w:rsid w:val="64B37927"/>
    <w:rsid w:val="64F5745B"/>
    <w:rsid w:val="65431E53"/>
    <w:rsid w:val="656071F2"/>
    <w:rsid w:val="65E66B55"/>
    <w:rsid w:val="668A5953"/>
    <w:rsid w:val="66F0620F"/>
    <w:rsid w:val="67163E36"/>
    <w:rsid w:val="67294323"/>
    <w:rsid w:val="677133AB"/>
    <w:rsid w:val="67A46ABB"/>
    <w:rsid w:val="67A760D9"/>
    <w:rsid w:val="68141A48"/>
    <w:rsid w:val="68301DD3"/>
    <w:rsid w:val="689678DC"/>
    <w:rsid w:val="68E935B2"/>
    <w:rsid w:val="68F071D2"/>
    <w:rsid w:val="69226B8E"/>
    <w:rsid w:val="697650C9"/>
    <w:rsid w:val="6990449C"/>
    <w:rsid w:val="6A3D62B1"/>
    <w:rsid w:val="6BF1756B"/>
    <w:rsid w:val="6C4770EF"/>
    <w:rsid w:val="6CC17A4F"/>
    <w:rsid w:val="6D920313"/>
    <w:rsid w:val="6DE0371D"/>
    <w:rsid w:val="6E620CF2"/>
    <w:rsid w:val="6EC45659"/>
    <w:rsid w:val="6F56616E"/>
    <w:rsid w:val="6F5E1AA3"/>
    <w:rsid w:val="6F8D5764"/>
    <w:rsid w:val="6FC0465E"/>
    <w:rsid w:val="6FC63036"/>
    <w:rsid w:val="6FEC5765"/>
    <w:rsid w:val="702A415B"/>
    <w:rsid w:val="70AD31F0"/>
    <w:rsid w:val="70E9255F"/>
    <w:rsid w:val="71E830CF"/>
    <w:rsid w:val="72310225"/>
    <w:rsid w:val="72C87F7F"/>
    <w:rsid w:val="741F01E3"/>
    <w:rsid w:val="75E10FF1"/>
    <w:rsid w:val="763F556D"/>
    <w:rsid w:val="76434FBA"/>
    <w:rsid w:val="76570E0B"/>
    <w:rsid w:val="769A4E05"/>
    <w:rsid w:val="76D724E7"/>
    <w:rsid w:val="76D8191F"/>
    <w:rsid w:val="7772178F"/>
    <w:rsid w:val="78333936"/>
    <w:rsid w:val="7912435D"/>
    <w:rsid w:val="7A362281"/>
    <w:rsid w:val="7B2A25EA"/>
    <w:rsid w:val="7B5A04B1"/>
    <w:rsid w:val="7C5764FD"/>
    <w:rsid w:val="7C723EE6"/>
    <w:rsid w:val="7C734CF6"/>
    <w:rsid w:val="7E4109C5"/>
    <w:rsid w:val="7EA70AA9"/>
    <w:rsid w:val="7F200B83"/>
    <w:rsid w:val="7F5D585A"/>
    <w:rsid w:val="7FCA0E68"/>
    <w:rsid w:val="7FD23705"/>
    <w:rsid w:val="BC6F7602"/>
    <w:rsid w:val="BF6D1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2024-10-11T19:40:31Z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