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民丰县财政局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部门单位名称（公章）：民丰县财政局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（1）贯彻实施财政、税收、行政事业单位国有资产、财务、会计方面的</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、规章和方针政策；负责拟订有关政策和管理制度并组织实施。执行财政分配政策和分级财政管理体制，拟订全县财政发展战略和中长期规划，指导全县财政工作。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分析预测全县财政经济形势，参与拟订各项宏观经济政策和经济体制改革方案；运用财税经济杠杆，对全县的经济运行和国民收入分配进行调控；拟订县及县以下单位、政府与企业的分配政策，完善鼓励公益事业发展的财税政策。</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管理全县财政收支，承担县级各项财政收支管理的责任。负责编制县级年度预决算草案，组织执行县级年度财政预算；负责审核批复部门（单位）的年度预决算。受县政府委托，向县人民代表大会报告全县、县级预算及其执行情况，向县人大常委会报告调整预算、决算及其他重大财政事项。管理行政事业性收费、政府基金、社会保障资金等；组织制定经费开支标准及管理办法；负责财政性资金的综合平衡。</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（4）负责政府非税收入、政府性基金、行政事业性收费等管理；管理财政票据；执行彩票管理政策，制定具体管理办法，管理彩票市场，按规定管理彩票资金。</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组织执行国库管理制度、国库集中收付制度、公务卡结算制度并制定具体管理办法，指导和监督县级国库业务，按规定开展国库现金管理工作。负责政府采购的政策制定和管理办法。制定全县行政、事业单位财务管理制度和对各种财政资金的管理监督办法。制定需要全县统一规定的行政事业单位开支标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（6）组织执行行政事业单位国有资产管理规章制度，按规定管理处置行政事业单位和国有企业的国有资产，并制定具体管理制度。负责公共资源的统计、分析。</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7）负责审核和汇总编制县级国有资本经营预决算草案，执行国有资本经营预算的制度和办法，并按规定制定具体管理制度，收取县级国有资产收益，组织实施企业财务制度，参与拟订企业国有资产管理具体制度，按规定管理资产评估工作</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负责办理和监督县级财政的经济发展支出、县级政府性投资项目的财政拨款，负责财政投资评审管理工作。参与拟订县级建设投资的有关政策，执行基本建设财务制度，负责有关政策性补贴和专项储备资金财务管理工作。负责国债转贷财政资金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（9）会同有关部门管理县级财政社会保障和就业及医疗卫生支出，组织执行社会保障资金（基金）的财务管理制度，编制县级社会保障预决算草案。</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10）拟订和执行政府债务管理的制度和政策，负责统一管理政府债务，防范财政风险。归口管理全县政府外债，负责全县利用国际金融组织和外国政府贷款、赠款的全过程监督管理。代表县政府开展财税领域的区域交流与合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（11）负责协调本县金融机构相关工作。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（12）负责管理全县会计工作，组织实施会计法律法规，监督和规范会计行为，按规定制定并组织实施具体会计管理制度。</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（13）负责乡镇财政管理和农村综合改革工作。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14）贯彻落实财政绩效管理相关政策制度，组织指导县本级和各预算单位的预算绩效管理工作；组织实施专项资金绩效考核工作；研究建立财政支出绩效评价制度和评价体系，并组织实施；负责全县财政系统信息化建设规划，并组织实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（15）监督检查财税</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、政策的执行情况，反映财政收支管理中的重大问题，查处违反财经法纪的行为。</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（16）负责财政宣传和财政信息工作，加强财政调查研究和财政队伍的教育工作。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（17）承办县政府交办的其他事项。</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民丰县财政局</w:t>
      </w:r>
      <w:r>
        <w:rPr>
          <w:rFonts w:hint="eastAsia" w:ascii="仿宋_GB2312" w:hAnsi="宋体" w:eastAsia="仿宋_GB2312"/>
          <w:b w:val="0"/>
          <w:bCs/>
          <w:sz w:val="32"/>
          <w:szCs w:val="32"/>
        </w:rPr>
        <w:t>，单位编制数20人，实有人数20人，其中：在职20人；行政编制8人，参照公务员法管理事业人员5人，非参公事业人员7人。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（1）强化税收征管。加强财政经济形势研判，持续纵深推进财税部门深度合作，坚持依法征税管费，努力挖掘征收潜力，确保各项收入应收尽收、颗粒归仓。                              </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积极发挥财政职能作用，聚力落实“积极的财政政策要提质增效、更可持续”要求，兜实兜牢民生底线。坚持“三保”支出在财政支出中的优先地位，切实兜实兜牢“三保”底线。充分发挥积极财政政策功效，加强财政资源统筹，集中财力办大事。</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严格支出管理，硬化预算执行约束，坚持“无预算、不支出”，预算执行从严从紧。将财政可承受能力评估作为重大项目决策的必要前置环节，超出财政承受能力，增加政府隐性债务的不予支持，没有落实资金来源的项目，一律不得采购。</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（4）防范化解政府债务风险。坚决遏制隐性债务增量，妥善化解存量，坚决杜绝新增违规举债和拖欠账款。</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0万元，预算数（调整后）120万元，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120万元，执行率100%。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0万元，执行率65.39%。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1026.59万元，预算数（调整后）9291.7万元，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8862.8万元，执行率95.38%。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val="en-US" w:eastAsia="zh-CN"/>
        </w:rPr>
        <w:t>民丰县财政局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766.22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422.92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343.3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766.22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财政局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8525.48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8096.6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94.97</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598.2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316.35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7927.8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7780.25</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127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127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val="en-US" w:eastAsia="zh-CN"/>
        </w:rPr>
        <w:t>民丰县财政局</w:t>
      </w:r>
      <w:r>
        <w:rPr>
          <w:rFonts w:hint="eastAsia" w:hAnsi="方正楷体简体"/>
          <w:color w:val="auto"/>
          <w:highlight w:val="none"/>
        </w:rPr>
        <w:t>项目支出共涉及</w:t>
      </w:r>
      <w:r>
        <w:rPr>
          <w:rFonts w:hint="eastAsia" w:hAnsi="方正楷体简体"/>
          <w:color w:val="auto"/>
          <w:highlight w:val="none"/>
          <w:lang w:val="en-US" w:eastAsia="zh-CN"/>
        </w:rPr>
        <w:t>22</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中央财政第三批支持基层落实减税降费和重点民生项目（中央直达）</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2023年“访惠聚”为民办实事经费项目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民丰县财政自身建设资金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94.64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购买疫情物资资金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4.59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金昆国有资产管理有限公司资本金</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500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4"/>
                <w:szCs w:val="24"/>
                <w:u w:val="none"/>
                <w:lang w:val="en-US" w:eastAsia="zh-CN" w:bidi="ar"/>
              </w:rPr>
              <w:t>预决算工作经费项目（年初）</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财务软件维护费项目（年初）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部队转场慰问物资采购</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3.13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电子票据系统维护费项目（年初）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Style w:val="15"/>
                <w:lang w:val="en-US" w:eastAsia="zh-CN" w:bidi="ar"/>
              </w:rPr>
              <w:t>非税票据经费项目</w:t>
            </w:r>
            <w:r>
              <w:rPr>
                <w:rFonts w:hint="default" w:ascii="Calibri" w:hAnsi="Calibri" w:eastAsia="宋体" w:cs="Calibri"/>
                <w:i w:val="0"/>
                <w:color w:val="000000"/>
                <w:kern w:val="0"/>
                <w:sz w:val="24"/>
                <w:szCs w:val="24"/>
                <w:u w:val="none"/>
                <w:lang w:val="en-US" w:eastAsia="zh-CN" w:bidi="ar"/>
              </w:rPr>
              <w:t>5</w:t>
            </w:r>
            <w:r>
              <w:rPr>
                <w:rStyle w:val="15"/>
                <w:lang w:val="en-US" w:eastAsia="zh-CN" w:bidi="ar"/>
              </w:rPr>
              <w:t>万元（年初）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采购慰问品资金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民丰县代理库2022年代办业务费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项目竣工财务决算审核费项目（年初）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财务人员培训费项目（年初）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民丰县代理库2021年代办业务费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0.89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绩效管理服务项目（年初）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民丰县供销投资有限公司购买发现天津工业园区标准化厂房设施资产项目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县财力补助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7217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国投公司运转经费项目（年初）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财政平台网络运行维护费项目（年初）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金财服务器运行维护项目（年初）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政府财务报告服务费项目（年初）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财政局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766.22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422.92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343.3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766.22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127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4"/>
                <w:szCs w:val="24"/>
                <w:u w:val="none"/>
                <w:lang w:val="en-US" w:eastAsia="zh-CN" w:bidi="ar"/>
              </w:rPr>
              <w:t>中央财政第三批支持基层落实减税降费和重点民生项目（中央直达）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2023年“访惠聚”为民办实事经费项目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88.88%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127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127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100</w:t>
            </w:r>
            <w:r>
              <w:rPr>
                <w:rFonts w:hint="eastAsia" w:ascii="宋体" w:hAnsi="宋体" w:eastAsia="宋体" w:cs="宋体"/>
                <w:i w:val="0"/>
                <w:color w:val="000000"/>
                <w:kern w:val="0"/>
                <w:sz w:val="22"/>
                <w:szCs w:val="22"/>
                <w:u w:val="none"/>
                <w:lang w:val="en-US" w:eastAsia="zh-CN" w:bidi="ar"/>
              </w:rPr>
              <w:t>%</w:t>
            </w:r>
          </w:p>
        </w:tc>
      </w:tr>
    </w:tbl>
    <w:p>
      <w:pPr>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2023年“访惠聚”为民办实事经费项目</w:t>
      </w:r>
      <w:r>
        <w:rPr>
          <w:rFonts w:hint="eastAsia" w:ascii="仿宋_GB2312" w:hAnsi="方正楷体简体" w:eastAsia="仿宋_GB2312" w:cs="宋体"/>
          <w:color w:val="auto"/>
          <w:sz w:val="32"/>
          <w:szCs w:val="32"/>
          <w:highlight w:val="none"/>
          <w:lang w:val="en-US" w:eastAsia="zh-CN"/>
        </w:rPr>
        <w:t>：</w:t>
      </w:r>
      <w:r>
        <w:rPr>
          <w:rFonts w:hint="eastAsia" w:ascii="宋体" w:hAnsi="宋体" w:eastAsia="宋体" w:cs="宋体"/>
          <w:i w:val="0"/>
          <w:caps w:val="0"/>
          <w:color w:val="333333"/>
          <w:spacing w:val="0"/>
          <w:sz w:val="32"/>
          <w:szCs w:val="32"/>
          <w:shd w:val="clear" w:fill="FFFFFF"/>
        </w:rPr>
        <w:t>该项目年初预算不精准</w:t>
      </w:r>
      <w:r>
        <w:rPr>
          <w:rFonts w:hint="eastAsia" w:ascii="宋体" w:hAnsi="宋体" w:eastAsia="宋体" w:cs="宋体"/>
          <w:i w:val="0"/>
          <w:caps w:val="0"/>
          <w:color w:val="333333"/>
          <w:spacing w:val="0"/>
          <w:sz w:val="32"/>
          <w:szCs w:val="32"/>
          <w:shd w:val="clear" w:fill="FFFFFF"/>
          <w:lang w:eastAsia="zh-CN"/>
        </w:rPr>
        <w:t>，</w:t>
      </w:r>
      <w:r>
        <w:rPr>
          <w:rFonts w:hint="eastAsia" w:ascii="宋体" w:hAnsi="宋体" w:eastAsia="宋体" w:cs="宋体"/>
          <w:i w:val="0"/>
          <w:caps w:val="0"/>
          <w:color w:val="333333"/>
          <w:spacing w:val="0"/>
          <w:sz w:val="32"/>
          <w:szCs w:val="32"/>
          <w:shd w:val="clear" w:fill="FFFFFF"/>
        </w:rPr>
        <w:t>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（一）指标一：管理预算单位个数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管理预算单位个数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大于等于81个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81个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81个</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（二）指标二：财务人员培训次数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财务人员培训次数，预期指标是</w:t>
      </w:r>
      <w:r>
        <w:rPr>
          <w:rFonts w:hint="eastAsia" w:ascii="仿宋_GB2312" w:hAnsi="仿宋" w:eastAsia="仿宋_GB2312"/>
          <w:color w:val="auto"/>
          <w:sz w:val="32"/>
          <w:szCs w:val="32"/>
          <w:highlight w:val="none"/>
          <w:lang w:val="en-US" w:eastAsia="zh-CN"/>
        </w:rPr>
        <w:t>大于等于2次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（三）指标三：保障财政大平台运行数量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保障财政大平台运行数量，预期指标是</w:t>
      </w:r>
      <w:r>
        <w:rPr>
          <w:rFonts w:hint="eastAsia" w:ascii="仿宋_GB2312" w:hAnsi="仿宋" w:eastAsia="仿宋_GB2312"/>
          <w:color w:val="auto"/>
          <w:sz w:val="32"/>
          <w:szCs w:val="32"/>
          <w:highlight w:val="none"/>
          <w:lang w:val="en-US" w:eastAsia="zh-CN"/>
        </w:rPr>
        <w:t>大于等于81个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81个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81个</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（四）指标四：政府债券资金实施项目个数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政府债券资金实施项目个数，预期指标是</w:t>
      </w:r>
      <w:r>
        <w:rPr>
          <w:rFonts w:hint="eastAsia" w:ascii="仿宋_GB2312" w:hAnsi="仿宋" w:eastAsia="仿宋_GB2312"/>
          <w:color w:val="auto"/>
          <w:sz w:val="32"/>
          <w:szCs w:val="32"/>
          <w:highlight w:val="none"/>
          <w:lang w:val="en-US" w:eastAsia="zh-CN"/>
        </w:rPr>
        <w:t>大于等于24个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本次评价实际完成值是13个，未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（五）指标五：聘请法律顾问团队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聘请法律顾问团队，预期指标是</w:t>
      </w:r>
      <w:r>
        <w:rPr>
          <w:rFonts w:hint="eastAsia" w:ascii="仿宋_GB2312" w:hAnsi="仿宋" w:eastAsia="仿宋_GB2312"/>
          <w:color w:val="auto"/>
          <w:sz w:val="32"/>
          <w:szCs w:val="32"/>
          <w:highlight w:val="none"/>
          <w:lang w:val="en-US" w:eastAsia="zh-CN"/>
        </w:rPr>
        <w:t>大于等于1个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1个</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（六）指标六：“三公经费”控制率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“三公经费”控制率，预期指标是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w:t>
      </w:r>
      <w:r>
        <w:rPr>
          <w:rStyle w:val="9"/>
          <w:rFonts w:hint="eastAsia" w:ascii="仿宋_GB2312" w:hAnsi="楷体" w:eastAsia="仿宋_GB2312" w:cs="Times New Roman"/>
          <w:b w:val="0"/>
          <w:color w:val="auto"/>
          <w:spacing w:val="-4"/>
          <w:sz w:val="32"/>
          <w:szCs w:val="32"/>
          <w:highlight w:val="none"/>
          <w:lang w:val="en-US" w:eastAsia="zh-CN"/>
        </w:rPr>
        <w:t>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（七）指标七：预算资金管理覆盖率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b w:val="0"/>
          <w:bCs w:val="0"/>
          <w:lang w:val="en-US" w:eastAsia="zh-CN"/>
        </w:rPr>
      </w:pPr>
      <w:r>
        <w:rPr>
          <w:rFonts w:hint="eastAsia" w:ascii="仿宋_GB2312" w:hAnsi="仿宋" w:eastAsia="仿宋_GB2312"/>
          <w:color w:val="auto"/>
          <w:sz w:val="32"/>
          <w:szCs w:val="32"/>
          <w:highlight w:val="none"/>
        </w:rPr>
        <w:t>预算资金管理覆盖率，预期指标是</w:t>
      </w:r>
      <w:r>
        <w:rPr>
          <w:rFonts w:hint="eastAsia" w:ascii="仿宋_GB2312" w:hAnsi="仿宋" w:eastAsia="仿宋_GB2312"/>
          <w:color w:val="auto"/>
          <w:sz w:val="32"/>
          <w:szCs w:val="32"/>
          <w:highlight w:val="none"/>
          <w:lang w:val="en-US" w:eastAsia="zh-CN"/>
        </w:rPr>
        <w:t>大于等于98%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w:t>
      </w:r>
      <w:r>
        <w:rPr>
          <w:rStyle w:val="9"/>
          <w:rFonts w:hint="eastAsia" w:ascii="仿宋_GB2312" w:hAnsi="楷体" w:eastAsia="仿宋_GB2312" w:cs="Times New Roman"/>
          <w:b w:val="0"/>
          <w:color w:val="auto"/>
          <w:spacing w:val="-4"/>
          <w:sz w:val="32"/>
          <w:szCs w:val="32"/>
          <w:highlight w:val="none"/>
          <w:lang w:val="en-US" w:eastAsia="zh-CN"/>
        </w:rPr>
        <w:t>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98%</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2023年度部门整体支出绩效自评综合得分85.18分，评价结果为“良”。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(一)预算执行存在偏差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楷体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4A22BD"/>
    <w:rsid w:val="018752E2"/>
    <w:rsid w:val="020B07BA"/>
    <w:rsid w:val="02656D15"/>
    <w:rsid w:val="02D53963"/>
    <w:rsid w:val="02E32A46"/>
    <w:rsid w:val="033D0BD9"/>
    <w:rsid w:val="034B5C98"/>
    <w:rsid w:val="04A57CCB"/>
    <w:rsid w:val="04C325F4"/>
    <w:rsid w:val="053C376F"/>
    <w:rsid w:val="056B2C09"/>
    <w:rsid w:val="059E4F1D"/>
    <w:rsid w:val="05CB6613"/>
    <w:rsid w:val="065340BF"/>
    <w:rsid w:val="06696209"/>
    <w:rsid w:val="067858D3"/>
    <w:rsid w:val="087051E6"/>
    <w:rsid w:val="0883680C"/>
    <w:rsid w:val="08CC471F"/>
    <w:rsid w:val="08DF2A73"/>
    <w:rsid w:val="0A6E09DE"/>
    <w:rsid w:val="0AC65524"/>
    <w:rsid w:val="0B5B2654"/>
    <w:rsid w:val="0B6F48AA"/>
    <w:rsid w:val="0BC64CF0"/>
    <w:rsid w:val="0C1013EF"/>
    <w:rsid w:val="0D1922F1"/>
    <w:rsid w:val="0D5E5D59"/>
    <w:rsid w:val="0D9F0DF1"/>
    <w:rsid w:val="0E325CFD"/>
    <w:rsid w:val="0E6E4ABB"/>
    <w:rsid w:val="0E737D65"/>
    <w:rsid w:val="0F5B477B"/>
    <w:rsid w:val="0F7479C3"/>
    <w:rsid w:val="1018672E"/>
    <w:rsid w:val="10DF6E84"/>
    <w:rsid w:val="127423D4"/>
    <w:rsid w:val="12D07449"/>
    <w:rsid w:val="13BD0265"/>
    <w:rsid w:val="13C71FBF"/>
    <w:rsid w:val="1438599A"/>
    <w:rsid w:val="147251C8"/>
    <w:rsid w:val="14DB7434"/>
    <w:rsid w:val="14F27B7B"/>
    <w:rsid w:val="15190DF9"/>
    <w:rsid w:val="16067BCD"/>
    <w:rsid w:val="16F94A67"/>
    <w:rsid w:val="16FB166E"/>
    <w:rsid w:val="17914CB9"/>
    <w:rsid w:val="18414008"/>
    <w:rsid w:val="189E58C4"/>
    <w:rsid w:val="197406AD"/>
    <w:rsid w:val="19873D35"/>
    <w:rsid w:val="19F6744F"/>
    <w:rsid w:val="19FE0A5D"/>
    <w:rsid w:val="1A25501E"/>
    <w:rsid w:val="1C2C07FE"/>
    <w:rsid w:val="1C67144E"/>
    <w:rsid w:val="1D073223"/>
    <w:rsid w:val="1D95187B"/>
    <w:rsid w:val="1E1A7DA0"/>
    <w:rsid w:val="1E66234A"/>
    <w:rsid w:val="1EEE0F9D"/>
    <w:rsid w:val="1FBB36D6"/>
    <w:rsid w:val="200F4073"/>
    <w:rsid w:val="215E00BB"/>
    <w:rsid w:val="224462AF"/>
    <w:rsid w:val="229016F2"/>
    <w:rsid w:val="234B1673"/>
    <w:rsid w:val="236F5373"/>
    <w:rsid w:val="23820713"/>
    <w:rsid w:val="24B86128"/>
    <w:rsid w:val="252E7E35"/>
    <w:rsid w:val="254C0941"/>
    <w:rsid w:val="25960553"/>
    <w:rsid w:val="27403F24"/>
    <w:rsid w:val="27FB2943"/>
    <w:rsid w:val="284071C5"/>
    <w:rsid w:val="285B3063"/>
    <w:rsid w:val="28F109D1"/>
    <w:rsid w:val="291F3644"/>
    <w:rsid w:val="2997199A"/>
    <w:rsid w:val="29B25969"/>
    <w:rsid w:val="2AF77D81"/>
    <w:rsid w:val="2B043BBD"/>
    <w:rsid w:val="2B4341EB"/>
    <w:rsid w:val="2C55329F"/>
    <w:rsid w:val="2C976C10"/>
    <w:rsid w:val="2D6A2DFD"/>
    <w:rsid w:val="2DAA4FFB"/>
    <w:rsid w:val="2DE92A48"/>
    <w:rsid w:val="2E6F7238"/>
    <w:rsid w:val="2E913C19"/>
    <w:rsid w:val="2EE7129F"/>
    <w:rsid w:val="2EF80FF5"/>
    <w:rsid w:val="304436B9"/>
    <w:rsid w:val="30521277"/>
    <w:rsid w:val="307179D7"/>
    <w:rsid w:val="307C27C2"/>
    <w:rsid w:val="30A967BD"/>
    <w:rsid w:val="30C71428"/>
    <w:rsid w:val="31153648"/>
    <w:rsid w:val="311D1738"/>
    <w:rsid w:val="32650FE8"/>
    <w:rsid w:val="32F63DCB"/>
    <w:rsid w:val="33AB5FAE"/>
    <w:rsid w:val="33C0389C"/>
    <w:rsid w:val="33D53037"/>
    <w:rsid w:val="33EA0269"/>
    <w:rsid w:val="345A5349"/>
    <w:rsid w:val="34CB0FF3"/>
    <w:rsid w:val="350E12DF"/>
    <w:rsid w:val="35274E80"/>
    <w:rsid w:val="35446943"/>
    <w:rsid w:val="355E433D"/>
    <w:rsid w:val="361E2E4B"/>
    <w:rsid w:val="364E6E77"/>
    <w:rsid w:val="37213B34"/>
    <w:rsid w:val="372733FD"/>
    <w:rsid w:val="37371439"/>
    <w:rsid w:val="38880381"/>
    <w:rsid w:val="38A56747"/>
    <w:rsid w:val="38A61EBD"/>
    <w:rsid w:val="3A145058"/>
    <w:rsid w:val="3ABA302D"/>
    <w:rsid w:val="3B771FCB"/>
    <w:rsid w:val="3BBF2075"/>
    <w:rsid w:val="3D946E40"/>
    <w:rsid w:val="3DF04555"/>
    <w:rsid w:val="3E1178E2"/>
    <w:rsid w:val="3E310ACC"/>
    <w:rsid w:val="3E81126F"/>
    <w:rsid w:val="3E9E073A"/>
    <w:rsid w:val="3EF5BE2B"/>
    <w:rsid w:val="3F267C21"/>
    <w:rsid w:val="3FD249C9"/>
    <w:rsid w:val="3FD35BB0"/>
    <w:rsid w:val="40823512"/>
    <w:rsid w:val="41D16217"/>
    <w:rsid w:val="41FB2085"/>
    <w:rsid w:val="430371D4"/>
    <w:rsid w:val="433C35D6"/>
    <w:rsid w:val="43925232"/>
    <w:rsid w:val="44081B00"/>
    <w:rsid w:val="44202481"/>
    <w:rsid w:val="444610E2"/>
    <w:rsid w:val="44F01E93"/>
    <w:rsid w:val="455525A3"/>
    <w:rsid w:val="469B7411"/>
    <w:rsid w:val="46E706D9"/>
    <w:rsid w:val="4734166A"/>
    <w:rsid w:val="48DB7079"/>
    <w:rsid w:val="49056F6B"/>
    <w:rsid w:val="4A51010F"/>
    <w:rsid w:val="4CCB231D"/>
    <w:rsid w:val="4CE26E4A"/>
    <w:rsid w:val="4D5352D2"/>
    <w:rsid w:val="4EB24179"/>
    <w:rsid w:val="4EC92350"/>
    <w:rsid w:val="4EE93236"/>
    <w:rsid w:val="4F245112"/>
    <w:rsid w:val="506B51B4"/>
    <w:rsid w:val="50966E31"/>
    <w:rsid w:val="509F769A"/>
    <w:rsid w:val="50E07529"/>
    <w:rsid w:val="513509E7"/>
    <w:rsid w:val="51C70EA9"/>
    <w:rsid w:val="51EC08C3"/>
    <w:rsid w:val="51EC3E10"/>
    <w:rsid w:val="52447D8A"/>
    <w:rsid w:val="525A24AD"/>
    <w:rsid w:val="52802819"/>
    <w:rsid w:val="52DD0612"/>
    <w:rsid w:val="531909A9"/>
    <w:rsid w:val="53B535AD"/>
    <w:rsid w:val="54942087"/>
    <w:rsid w:val="54F842B6"/>
    <w:rsid w:val="54FC61C8"/>
    <w:rsid w:val="55525A1B"/>
    <w:rsid w:val="555336B2"/>
    <w:rsid w:val="561D1A23"/>
    <w:rsid w:val="56490EB8"/>
    <w:rsid w:val="565A30BA"/>
    <w:rsid w:val="56CF5F6C"/>
    <w:rsid w:val="56F36B41"/>
    <w:rsid w:val="57DF3542"/>
    <w:rsid w:val="58CB188F"/>
    <w:rsid w:val="58FB7FD2"/>
    <w:rsid w:val="59315140"/>
    <w:rsid w:val="595020B3"/>
    <w:rsid w:val="59CC5807"/>
    <w:rsid w:val="5A052E26"/>
    <w:rsid w:val="5A3651B6"/>
    <w:rsid w:val="5B9757C7"/>
    <w:rsid w:val="5BD87229"/>
    <w:rsid w:val="5D7F353D"/>
    <w:rsid w:val="5DAA22FE"/>
    <w:rsid w:val="5EB12FFC"/>
    <w:rsid w:val="5F736BDA"/>
    <w:rsid w:val="5F781279"/>
    <w:rsid w:val="5FCF4505"/>
    <w:rsid w:val="5FD4387C"/>
    <w:rsid w:val="5FE86389"/>
    <w:rsid w:val="60810646"/>
    <w:rsid w:val="60A001E1"/>
    <w:rsid w:val="61533F93"/>
    <w:rsid w:val="61823F12"/>
    <w:rsid w:val="61883CD3"/>
    <w:rsid w:val="631E50AA"/>
    <w:rsid w:val="63667F05"/>
    <w:rsid w:val="64092DFE"/>
    <w:rsid w:val="64F5745B"/>
    <w:rsid w:val="65410230"/>
    <w:rsid w:val="656071F2"/>
    <w:rsid w:val="668A5953"/>
    <w:rsid w:val="66F77F4C"/>
    <w:rsid w:val="66FC124E"/>
    <w:rsid w:val="670B0AB1"/>
    <w:rsid w:val="67163E36"/>
    <w:rsid w:val="6718750A"/>
    <w:rsid w:val="671F6DBC"/>
    <w:rsid w:val="67695929"/>
    <w:rsid w:val="67A46ABB"/>
    <w:rsid w:val="67A760D9"/>
    <w:rsid w:val="697650C9"/>
    <w:rsid w:val="6BF1756B"/>
    <w:rsid w:val="6D2B4E93"/>
    <w:rsid w:val="6F5E1AA3"/>
    <w:rsid w:val="6FC63036"/>
    <w:rsid w:val="6FD06521"/>
    <w:rsid w:val="709519DA"/>
    <w:rsid w:val="70AD31F0"/>
    <w:rsid w:val="7572728A"/>
    <w:rsid w:val="75E10FF1"/>
    <w:rsid w:val="76434FBA"/>
    <w:rsid w:val="769A4E05"/>
    <w:rsid w:val="77474604"/>
    <w:rsid w:val="79674220"/>
    <w:rsid w:val="7B5A04B1"/>
    <w:rsid w:val="7C1E45A1"/>
    <w:rsid w:val="7C5764FD"/>
    <w:rsid w:val="7D30366C"/>
    <w:rsid w:val="7F0F7073"/>
    <w:rsid w:val="7F200B83"/>
    <w:rsid w:val="7F2C7074"/>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10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2024-10-11T19:36:37Z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