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民丰县安迪尔乡中心小学</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部门单位名称（公章）：民丰县安迪尔乡中心小学</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3"/>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Times New Roman"/>
          <w:b/>
          <w:bCs w:val="0"/>
          <w:color w:val="auto"/>
          <w:sz w:val="32"/>
          <w:szCs w:val="32"/>
          <w:highlight w:val="none"/>
        </w:rPr>
      </w:pPr>
      <w:r>
        <w:rPr>
          <w:rFonts w:hint="eastAsia" w:ascii="仿宋_GB2312" w:hAnsi="宋体" w:eastAsia="仿宋_GB2312"/>
          <w:b w:val="0"/>
          <w:bCs/>
          <w:sz w:val="32"/>
          <w:szCs w:val="32"/>
        </w:rPr>
        <w:t>民丰县</w:t>
      </w:r>
      <w:r>
        <w:rPr>
          <w:rFonts w:hint="eastAsia" w:ascii="仿宋_GB2312" w:hAnsi="宋体" w:eastAsia="仿宋_GB2312"/>
          <w:b w:val="0"/>
          <w:bCs/>
          <w:sz w:val="32"/>
          <w:szCs w:val="32"/>
          <w:lang w:eastAsia="zh-CN"/>
        </w:rPr>
        <w:t>安迪尔乡中心小学</w:t>
      </w:r>
      <w:r>
        <w:rPr>
          <w:rFonts w:hint="eastAsia" w:ascii="仿宋_GB2312" w:hAnsi="宋体" w:eastAsia="仿宋_GB2312"/>
          <w:b w:val="0"/>
          <w:bCs/>
          <w:sz w:val="32"/>
          <w:szCs w:val="32"/>
        </w:rPr>
        <w:t>在县委领导下，以习近平新时代中国特色社会主义思想为指导，全面贯彻党的十九大精神和党的教育方针，认真落实立德树人根本任务，遵循学前教育规律，牢牢把握学前教育正确发展方向，完善学前教育体制机制，健全学前教育政策保障体系，推进学前教育普及普惠安全优质发展，满足人民群众对幼有所育的美好期盼，为培养德智体美劳全面发展的社会主义建设者和接班人奠定坚实基础。主要职责是：组织教育教学、科学研究活动，保证教育教学质量。维护教职工利益，保障教职工合法权益，以教职工和学生的人生幸福和生命质量作为重点。承办学前双语教育，积极落实学前双语教育发展的政策，维护民族地区社会稳定和民族教育发展。</w:t>
      </w:r>
      <w:r>
        <w:rPr>
          <w:rFonts w:hint="eastAsia" w:ascii="仿宋_GB2312" w:hAnsi="宋体" w:eastAsia="仿宋_GB2312"/>
          <w:b w:val="0"/>
          <w:bCs/>
          <w:sz w:val="32"/>
          <w:szCs w:val="32"/>
        </w:rPr>
        <w:cr/>
      </w:r>
      <w:r>
        <w:rPr>
          <w:rFonts w:hint="eastAsia" w:ascii="仿宋_GB2312" w:hAnsi="宋体" w:eastAsia="仿宋_GB2312"/>
          <w:b w:val="0"/>
          <w:bCs/>
          <w:sz w:val="32"/>
          <w:szCs w:val="32"/>
          <w:lang w:val="en-US" w:eastAsia="zh-CN"/>
        </w:rPr>
        <w:t xml:space="preserve">    </w:t>
      </w:r>
      <w:r>
        <w:rPr>
          <w:rFonts w:hint="eastAsia" w:ascii="仿宋_GB2312" w:hAnsi="仿宋" w:eastAsia="仿宋_GB2312" w:cs="Times New Roman"/>
          <w:b/>
          <w:bCs w:val="0"/>
          <w:color w:val="auto"/>
          <w:sz w:val="32"/>
          <w:szCs w:val="32"/>
          <w:highlight w:val="none"/>
          <w:lang w:val="en-US" w:eastAsia="zh-CN"/>
        </w:rPr>
        <w:t>2.</w:t>
      </w: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pStyle w:val="3"/>
        <w:widowControl/>
        <w:wordWrap/>
        <w:adjustRightInd/>
        <w:snapToGrid/>
        <w:spacing w:before="0" w:after="0" w:line="560" w:lineRule="exact"/>
        <w:ind w:firstLine="640" w:firstLineChars="200"/>
        <w:textAlignment w:val="auto"/>
        <w:rPr>
          <w:rFonts w:hint="eastAsia" w:ascii="黑体" w:hAnsi="黑体" w:eastAsia="黑体" w:cs="宋体"/>
          <w:b/>
          <w:color w:val="auto"/>
          <w:sz w:val="32"/>
          <w:szCs w:val="32"/>
          <w:highlight w:val="none"/>
          <w:lang w:bidi="ar"/>
        </w:rPr>
      </w:pPr>
      <w:r>
        <w:rPr>
          <w:rFonts w:hint="eastAsia" w:ascii="仿宋_GB2312" w:hAnsi="仿宋_GB2312" w:eastAsia="仿宋_GB2312" w:cs="仿宋_GB2312"/>
          <w:sz w:val="32"/>
          <w:szCs w:val="32"/>
          <w:highlight w:val="none"/>
        </w:rPr>
        <w:t>我</w:t>
      </w:r>
      <w:r>
        <w:rPr>
          <w:rFonts w:hint="eastAsia" w:ascii="仿宋_GB2312" w:hAnsi="仿宋_GB2312" w:eastAsia="仿宋_GB2312" w:cs="仿宋_GB2312"/>
          <w:sz w:val="32"/>
          <w:szCs w:val="32"/>
          <w:highlight w:val="none"/>
          <w:lang w:val="en-US" w:eastAsia="zh-CN"/>
        </w:rPr>
        <w:t>乡有两所小学、中心小学一所、在下的分校一所</w:t>
      </w:r>
      <w:r>
        <w:rPr>
          <w:rFonts w:hint="eastAsia" w:ascii="仿宋_GB2312" w:hAnsi="仿宋_GB2312" w:eastAsia="仿宋_GB2312" w:cs="仿宋_GB2312"/>
          <w:sz w:val="32"/>
          <w:szCs w:val="32"/>
          <w:highlight w:val="none"/>
        </w:rPr>
        <w:t>，现有</w:t>
      </w:r>
      <w:r>
        <w:rPr>
          <w:rFonts w:hint="eastAsia" w:ascii="仿宋_GB2312" w:hAnsi="仿宋_GB2312" w:eastAsia="仿宋_GB2312" w:cs="仿宋_GB2312"/>
          <w:sz w:val="32"/>
          <w:szCs w:val="32"/>
          <w:highlight w:val="none"/>
          <w:lang w:val="en-US" w:eastAsia="zh-CN"/>
        </w:rPr>
        <w:t>班级8个、全乡</w:t>
      </w:r>
      <w:r>
        <w:rPr>
          <w:rFonts w:hint="eastAsia" w:ascii="仿宋_GB2312" w:hAnsi="仿宋_GB2312" w:eastAsia="仿宋_GB2312" w:cs="仿宋_GB2312"/>
          <w:sz w:val="32"/>
          <w:szCs w:val="32"/>
          <w:highlight w:val="none"/>
        </w:rPr>
        <w:t>学生总数</w:t>
      </w:r>
      <w:r>
        <w:rPr>
          <w:rFonts w:hint="eastAsia" w:ascii="仿宋_GB2312" w:hAnsi="仿宋_GB2312" w:eastAsia="仿宋_GB2312" w:cs="仿宋_GB2312"/>
          <w:sz w:val="32"/>
          <w:szCs w:val="32"/>
          <w:highlight w:val="none"/>
          <w:lang w:val="en-US" w:eastAsia="zh-CN"/>
        </w:rPr>
        <w:t>225</w:t>
      </w:r>
      <w:r>
        <w:rPr>
          <w:rFonts w:hint="eastAsia" w:ascii="仿宋_GB2312" w:hAnsi="仿宋_GB2312" w:eastAsia="仿宋_GB2312" w:cs="仿宋_GB2312"/>
          <w:sz w:val="32"/>
          <w:szCs w:val="32"/>
          <w:highlight w:val="none"/>
        </w:rPr>
        <w:t>名</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其中中心小学128名、分校小学97名</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班额人数把握在规定范围内。</w:t>
      </w:r>
      <w:r>
        <w:rPr>
          <w:rFonts w:hint="eastAsia" w:ascii="仿宋_GB2312" w:hAnsi="仿宋_GB2312" w:eastAsia="仿宋_GB2312" w:cs="仿宋_GB2312"/>
          <w:sz w:val="32"/>
          <w:szCs w:val="32"/>
          <w:highlight w:val="none"/>
          <w:lang w:eastAsia="zh-CN"/>
        </w:rPr>
        <w:t>现有</w:t>
      </w:r>
      <w:r>
        <w:rPr>
          <w:rFonts w:hint="eastAsia" w:ascii="仿宋_GB2312" w:hAnsi="仿宋_GB2312" w:eastAsia="仿宋_GB2312" w:cs="仿宋_GB2312"/>
          <w:sz w:val="32"/>
          <w:szCs w:val="32"/>
          <w:highlight w:val="none"/>
          <w:lang w:val="en-US" w:eastAsia="zh-CN"/>
        </w:rPr>
        <w:t>教职工30名，其中在编教师30名，临聘教师2名，厨师2名，保安2名</w:t>
      </w:r>
      <w:r>
        <w:rPr>
          <w:rFonts w:hint="eastAsia" w:ascii="仿宋_GB2312" w:hAnsi="仿宋_GB2312" w:eastAsia="仿宋_GB2312" w:cs="仿宋_GB2312"/>
          <w:sz w:val="32"/>
          <w:szCs w:val="32"/>
          <w:lang w:eastAsia="zh-CN"/>
        </w:rPr>
        <w:t>。</w:t>
      </w:r>
      <w:r>
        <w:rPr>
          <w:rFonts w:hint="eastAsia" w:ascii="仿宋_GB2312" w:hAnsi="宋体" w:eastAsia="仿宋_GB2312"/>
          <w:b w:val="0"/>
          <w:bCs/>
          <w:sz w:val="32"/>
          <w:szCs w:val="32"/>
        </w:rPr>
        <w:cr/>
      </w:r>
      <w:r>
        <w:rPr>
          <w:rFonts w:hint="eastAsia" w:ascii="仿宋_GB2312" w:hAnsi="宋体" w:eastAsia="仿宋_GB2312"/>
          <w:b w:val="0"/>
          <w:bCs/>
          <w:sz w:val="32"/>
          <w:szCs w:val="32"/>
          <w:lang w:val="en-US" w:eastAsia="zh-CN"/>
        </w:rPr>
        <w:t xml:space="preserve">  </w:t>
      </w: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pStyle w:val="13"/>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9"/>
        <w:rPr>
          <w:rFonts w:hint="eastAsia" w:ascii="仿宋" w:hAnsi="仿宋" w:eastAsia="仿宋_GB2312" w:cs="Times New Roman"/>
          <w:bCs/>
          <w:color w:val="auto"/>
          <w:sz w:val="32"/>
          <w:szCs w:val="32"/>
          <w:lang w:eastAsia="zh-CN"/>
        </w:rPr>
      </w:pPr>
      <w:r>
        <w:rPr>
          <w:rFonts w:hint="eastAsia" w:ascii="仿宋_GB2312" w:hAnsi="仿宋" w:eastAsia="仿宋_GB2312" w:cs="Times New Roman"/>
          <w:bCs/>
          <w:color w:val="auto"/>
          <w:sz w:val="32"/>
          <w:szCs w:val="32"/>
        </w:rPr>
        <w:t>（1）2022年城乡义务教育项目直达资金的通知</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sz w:val="32"/>
          <w:szCs w:val="32"/>
        </w:rPr>
        <w:t>营养改善项目</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sz w:val="32"/>
          <w:szCs w:val="32"/>
        </w:rPr>
        <w:t>本校是</w:t>
      </w:r>
      <w:r>
        <w:rPr>
          <w:rFonts w:hint="eastAsia" w:ascii="仿宋_GB2312" w:hAnsi="仿宋" w:eastAsia="仿宋_GB2312" w:cs="Times New Roman"/>
          <w:bCs/>
          <w:color w:val="auto"/>
          <w:sz w:val="32"/>
          <w:szCs w:val="32"/>
          <w:lang w:val="en-US" w:eastAsia="zh-CN"/>
        </w:rPr>
        <w:t>2</w:t>
      </w:r>
      <w:r>
        <w:rPr>
          <w:rFonts w:hint="eastAsia" w:ascii="仿宋_GB2312" w:hAnsi="仿宋" w:eastAsia="仿宋_GB2312" w:cs="Times New Roman"/>
          <w:bCs/>
          <w:color w:val="auto"/>
          <w:sz w:val="32"/>
          <w:szCs w:val="32"/>
        </w:rPr>
        <w:t>所义务教育阶段学校，本所有</w:t>
      </w:r>
      <w:r>
        <w:rPr>
          <w:rFonts w:hint="eastAsia" w:ascii="仿宋_GB2312" w:hAnsi="仿宋" w:eastAsia="仿宋_GB2312" w:cs="Times New Roman"/>
          <w:bCs/>
          <w:color w:val="auto"/>
          <w:sz w:val="32"/>
          <w:szCs w:val="32"/>
          <w:lang w:val="en-US" w:eastAsia="zh-CN"/>
        </w:rPr>
        <w:t>225</w:t>
      </w:r>
      <w:r>
        <w:rPr>
          <w:rFonts w:hint="eastAsia" w:ascii="仿宋_GB2312" w:hAnsi="仿宋" w:eastAsia="仿宋_GB2312" w:cs="Times New Roman"/>
          <w:bCs/>
          <w:color w:val="auto"/>
          <w:sz w:val="32"/>
          <w:szCs w:val="32"/>
        </w:rPr>
        <w:t>名学生、每生每年1000元的标准进行营养改善补贴。通过项目的实施，有效减轻学生家庭负担，改善学校办学条件，提升学生身体素质。</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outlineLvl w:val="9"/>
        <w:rPr>
          <w:rFonts w:ascii="仿宋" w:hAnsi="仿宋" w:eastAsia="仿宋" w:cs="Times New Roman"/>
          <w:bCs/>
          <w:color w:val="auto"/>
          <w:sz w:val="32"/>
          <w:szCs w:val="32"/>
        </w:rPr>
      </w:pPr>
      <w:r>
        <w:rPr>
          <w:rFonts w:hint="eastAsia" w:ascii="仿宋" w:hAnsi="仿宋" w:eastAsia="仿宋" w:cs="Times New Roman"/>
          <w:bCs/>
          <w:color w:val="auto"/>
          <w:sz w:val="32"/>
          <w:szCs w:val="32"/>
        </w:rPr>
        <w:t>2022年教育直达资金（公用经费）</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kern w:val="2"/>
          <w:sz w:val="32"/>
          <w:szCs w:val="32"/>
          <w:lang w:val="en-US" w:eastAsia="zh-CN" w:bidi="ar-SA"/>
        </w:rPr>
        <w:t>本校是2所义务教育阶段学校，本所有225名学生、每生每年650元的标准进行营养改善补贴。通过项目的实施，有效减轻学生家庭负担，改善学校办学条件，提升学生身体素质。</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outlineLvl w:val="9"/>
        <w:rPr>
          <w:rFonts w:ascii="仿宋" w:hAnsi="仿宋" w:eastAsia="仿宋" w:cs="Times New Roman"/>
          <w:bCs/>
          <w:color w:val="auto"/>
          <w:sz w:val="32"/>
          <w:szCs w:val="32"/>
        </w:rPr>
      </w:pPr>
      <w:r>
        <w:rPr>
          <w:rFonts w:hint="eastAsia" w:ascii="仿宋" w:hAnsi="仿宋" w:eastAsia="仿宋" w:cs="Times New Roman"/>
          <w:bCs/>
          <w:color w:val="auto"/>
          <w:sz w:val="32"/>
          <w:szCs w:val="32"/>
        </w:rPr>
        <w:t>县级配套教师培训经费</w:t>
      </w:r>
      <w:r>
        <w:rPr>
          <w:rFonts w:hint="eastAsia" w:ascii="仿宋_GB2312" w:hAnsi="仿宋" w:eastAsia="仿宋_GB2312" w:cs="Times New Roman"/>
          <w:bCs/>
          <w:color w:val="auto"/>
          <w:kern w:val="2"/>
          <w:sz w:val="32"/>
          <w:szCs w:val="32"/>
          <w:lang w:val="en-US" w:eastAsia="zh-CN" w:bidi="ar-SA"/>
        </w:rPr>
        <w:t>：为大力实施教育优先发展战略，全面贯彻党的教育方针，提升我校教师教育教学能力，我校将为20名教师开展20次培训。通过定期不定期的教师培训工作，提高教师工作的积极性，促进教学，全面提升教育教学质量，增强教师教书育人的责任感，促进全县各学段教育教学质量的全面提升。</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outlineLvl w:val="9"/>
        <w:rPr>
          <w:rFonts w:ascii="仿宋" w:hAnsi="仿宋" w:eastAsia="仿宋" w:cs="Times New Roman"/>
          <w:bCs/>
          <w:color w:val="auto"/>
          <w:sz w:val="32"/>
          <w:szCs w:val="32"/>
        </w:rPr>
      </w:pPr>
      <w:r>
        <w:rPr>
          <w:rFonts w:hint="eastAsia" w:ascii="仿宋" w:hAnsi="仿宋" w:eastAsia="仿宋" w:cs="Times New Roman"/>
          <w:bCs/>
          <w:color w:val="auto"/>
          <w:sz w:val="32"/>
          <w:szCs w:val="32"/>
        </w:rPr>
        <w:t>县配套用公费项目</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kern w:val="2"/>
          <w:sz w:val="32"/>
          <w:szCs w:val="32"/>
          <w:lang w:val="en-US" w:eastAsia="zh-CN" w:bidi="ar-SA"/>
        </w:rPr>
        <w:t>主要用于保障我县2所义务教育阶段小学225名学生的正常运转，按照每人每年39元进行补助。通过项目的实施，有效保障学校正常运转，同时提供给师生安全舒适的教学和学习环境。</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outlineLvl w:val="9"/>
        <w:rPr>
          <w:rFonts w:ascii="仿宋" w:hAnsi="仿宋" w:eastAsia="仿宋" w:cs="Times New Roman"/>
          <w:bCs/>
          <w:color w:val="auto"/>
          <w:sz w:val="32"/>
          <w:szCs w:val="32"/>
        </w:rPr>
      </w:pPr>
      <w:r>
        <w:rPr>
          <w:rFonts w:hint="eastAsia" w:ascii="仿宋" w:hAnsi="仿宋" w:eastAsia="仿宋" w:cs="Times New Roman"/>
          <w:bCs/>
          <w:color w:val="auto"/>
          <w:sz w:val="32"/>
          <w:szCs w:val="32"/>
        </w:rPr>
        <w:t>2022年教育直达资金（第二批营养膳食补助）</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kern w:val="2"/>
          <w:sz w:val="32"/>
          <w:szCs w:val="32"/>
          <w:lang w:val="en-US" w:eastAsia="zh-CN" w:bidi="ar-SA"/>
        </w:rPr>
        <w:t>本校是3所义务教育阶段学校，本所有225名学生、每生每年1000元的标准进行营养改善补贴。通过项目的实施，有效减轻学生家庭负担，改善学校办学条件，提升学生身体素质。</w:t>
      </w:r>
    </w:p>
    <w:p>
      <w:pPr>
        <w:pageBreakBefore w:val="0"/>
        <w:widowControl w:val="0"/>
        <w:kinsoku/>
        <w:wordWrap/>
        <w:overflowPunct/>
        <w:topLinePunct w:val="0"/>
        <w:autoSpaceDE/>
        <w:autoSpaceDN/>
        <w:bidi w:val="0"/>
        <w:adjustRightInd/>
        <w:snapToGrid/>
        <w:spacing w:before="0" w:after="0" w:line="560" w:lineRule="exact"/>
        <w:ind w:left="0" w:firstLine="640" w:firstLineChars="200"/>
        <w:textAlignment w:val="auto"/>
        <w:outlineLvl w:val="9"/>
        <w:rPr>
          <w:rFonts w:hint="eastAsia" w:ascii="仿宋_GB2312" w:hAnsi="仿宋" w:eastAsia="仿宋_GB2312" w:cs="Times New Roman"/>
          <w:bCs/>
          <w:color w:val="auto"/>
          <w:sz w:val="32"/>
          <w:szCs w:val="32"/>
        </w:rPr>
      </w:pPr>
      <w:r>
        <w:rPr>
          <w:rFonts w:hint="eastAsia" w:ascii="仿宋_GB2312" w:hAnsi="仿宋" w:eastAsia="仿宋_GB2312" w:cs="Times New Roman"/>
          <w:b w:val="0"/>
          <w:bCs/>
          <w:color w:val="auto"/>
          <w:kern w:val="2"/>
          <w:sz w:val="32"/>
          <w:szCs w:val="32"/>
          <w:lang w:val="en-US" w:eastAsia="zh-CN" w:bidi="ar-SA"/>
        </w:rPr>
        <w:t>（6）2022年教育直达资金（第二批公用经费）本校是2所义务教育阶段学校，本所有225名学生、每生每年650元的标准进行营养改善补贴。通过项目的实施，有效减轻学生家庭负担，改善学校办学条件，提升学生身体素质</w:t>
      </w:r>
      <w:r>
        <w:rPr>
          <w:rFonts w:hint="eastAsia" w:ascii="仿宋_GB2312" w:hAnsi="仿宋" w:eastAsia="仿宋_GB2312" w:cs="Times New Roman"/>
          <w:b w:val="0"/>
          <w:bCs w:val="0"/>
          <w:color w:val="auto"/>
          <w:sz w:val="32"/>
          <w:szCs w:val="32"/>
          <w:lang w:val="en-US" w:eastAsia="zh-CN"/>
        </w:rPr>
        <w:t>。</w:t>
      </w:r>
    </w:p>
    <w:p>
      <w:pPr>
        <w:spacing w:line="600" w:lineRule="exact"/>
        <w:ind w:firstLine="641" w:firstLineChars="2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10"/>
          <w:rFonts w:hint="eastAsia" w:ascii="仿宋_GB2312" w:hAnsi="楷体" w:eastAsia="仿宋_GB2312"/>
          <w:b w:val="0"/>
          <w:color w:val="auto"/>
          <w:spacing w:val="-4"/>
          <w:sz w:val="32"/>
          <w:szCs w:val="32"/>
          <w:highlight w:val="none"/>
          <w:lang w:eastAsia="zh-CN"/>
        </w:rPr>
      </w:pPr>
      <w:r>
        <w:rPr>
          <w:rStyle w:val="10"/>
          <w:rFonts w:hint="eastAsia" w:ascii="仿宋_GB2312" w:hAnsi="楷体" w:eastAsia="仿宋_GB2312"/>
          <w:b w:val="0"/>
          <w:color w:val="auto"/>
          <w:spacing w:val="-4"/>
          <w:sz w:val="32"/>
          <w:szCs w:val="32"/>
          <w:highlight w:val="none"/>
          <w:lang w:val="en-US" w:eastAsia="zh-CN"/>
        </w:rPr>
        <w:t>包括年初预算安排、年中调整（追加减）情况，</w:t>
      </w:r>
      <w:r>
        <w:rPr>
          <w:rStyle w:val="10"/>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592.81万元，预算数（调整后）556.08万元，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552.78万元，执行率99.41%。</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15.89万元，预算数（调整后）15.89万元，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11.34万元，执行率71.37%。</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安迪尔乡中心小学</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552.78</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552.76</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0.02万元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552.78</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安迪尔乡中心小学</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2</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3.3</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3.3</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5</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15.89</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11.34</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71.37</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4"/>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4"/>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安迪尔乡中心小学</w:t>
      </w:r>
      <w:r>
        <w:rPr>
          <w:rFonts w:hint="eastAsia" w:hAnsi="方正楷体简体"/>
          <w:color w:val="auto"/>
          <w:highlight w:val="none"/>
        </w:rPr>
        <w:t>项目支出共涉及</w:t>
      </w:r>
      <w:r>
        <w:rPr>
          <w:rFonts w:hint="eastAsia" w:hAnsi="方正楷体简体"/>
          <w:color w:val="auto"/>
          <w:highlight w:val="none"/>
          <w:lang w:val="en-US" w:eastAsia="zh-CN"/>
        </w:rPr>
        <w:t>7</w:t>
      </w:r>
      <w:r>
        <w:rPr>
          <w:rFonts w:hint="eastAsia" w:hAnsi="方正楷体简体"/>
          <w:color w:val="auto"/>
          <w:highlight w:val="none"/>
        </w:rPr>
        <w:t>个项目，分别为：</w:t>
      </w:r>
    </w:p>
    <w:tbl>
      <w:tblPr>
        <w:tblStyle w:val="8"/>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600"/>
        <w:gridCol w:w="2708"/>
      </w:tblGrid>
      <w:tr>
        <w:trPr>
          <w:trHeight w:val="90" w:hRule="atLeast"/>
        </w:trPr>
        <w:tc>
          <w:tcPr>
            <w:tcW w:w="4606" w:type="dxa"/>
            <w:vAlign w:val="center"/>
          </w:tcPr>
          <w:p>
            <w:pPr>
              <w:pStyle w:val="13"/>
              <w:spacing w:line="560" w:lineRule="exact"/>
              <w:ind w:firstLine="200" w:firstLineChars="0"/>
              <w:jc w:val="center"/>
              <w:rPr>
                <w:rStyle w:val="10"/>
                <w:rFonts w:hint="eastAsia" w:ascii="仿宋_GB2312" w:hAnsi="黑体" w:eastAsia="仿宋_GB2312" w:cs="Times New Roman"/>
                <w:b w:val="0"/>
                <w:color w:val="auto"/>
                <w:spacing w:val="-4"/>
                <w:sz w:val="32"/>
                <w:szCs w:val="32"/>
                <w:highlight w:val="none"/>
              </w:rPr>
            </w:pPr>
            <w:r>
              <w:rPr>
                <w:rStyle w:val="10"/>
                <w:rFonts w:hint="eastAsia" w:ascii="仿宋_GB2312" w:hAnsi="黑体" w:eastAsia="仿宋_GB2312" w:cs="Times New Roman"/>
                <w:b w:val="0"/>
                <w:color w:val="auto"/>
                <w:spacing w:val="-4"/>
                <w:sz w:val="32"/>
                <w:szCs w:val="32"/>
                <w:highlight w:val="none"/>
              </w:rPr>
              <w:t>项目名称</w:t>
            </w:r>
          </w:p>
        </w:tc>
        <w:tc>
          <w:tcPr>
            <w:tcW w:w="2600" w:type="dxa"/>
            <w:vAlign w:val="center"/>
          </w:tcPr>
          <w:p>
            <w:pPr>
              <w:pStyle w:val="13"/>
              <w:spacing w:line="560" w:lineRule="exact"/>
              <w:ind w:firstLine="200" w:firstLineChars="0"/>
              <w:jc w:val="both"/>
              <w:rPr>
                <w:rStyle w:val="10"/>
                <w:rFonts w:hint="eastAsia" w:ascii="仿宋_GB2312" w:hAnsi="黑体" w:eastAsia="仿宋_GB2312" w:cs="Times New Roman"/>
                <w:b w:val="0"/>
                <w:color w:val="auto"/>
                <w:spacing w:val="-4"/>
                <w:sz w:val="32"/>
                <w:szCs w:val="32"/>
                <w:highlight w:val="none"/>
                <w:lang w:eastAsia="zh-CN"/>
              </w:rPr>
            </w:pPr>
            <w:r>
              <w:rPr>
                <w:rStyle w:val="10"/>
                <w:rFonts w:hint="eastAsia" w:ascii="仿宋_GB2312" w:hAnsi="黑体" w:eastAsia="仿宋_GB2312" w:cs="Times New Roman"/>
                <w:b w:val="0"/>
                <w:color w:val="auto"/>
                <w:spacing w:val="-4"/>
                <w:sz w:val="32"/>
                <w:szCs w:val="32"/>
                <w:highlight w:val="none"/>
              </w:rPr>
              <w:t>总预算</w:t>
            </w:r>
            <w:r>
              <w:rPr>
                <w:rStyle w:val="10"/>
                <w:rFonts w:hint="eastAsia" w:ascii="仿宋_GB2312" w:hAnsi="黑体" w:eastAsia="仿宋_GB2312" w:cs="Times New Roman"/>
                <w:b w:val="0"/>
                <w:color w:val="auto"/>
                <w:spacing w:val="-4"/>
                <w:sz w:val="32"/>
                <w:szCs w:val="32"/>
                <w:highlight w:val="none"/>
                <w:lang w:eastAsia="zh-CN"/>
              </w:rPr>
              <w:t>（</w:t>
            </w:r>
            <w:r>
              <w:rPr>
                <w:rStyle w:val="10"/>
                <w:rFonts w:hint="eastAsia" w:ascii="仿宋_GB2312" w:hAnsi="黑体" w:eastAsia="仿宋_GB2312" w:cs="Times New Roman"/>
                <w:b w:val="0"/>
                <w:color w:val="auto"/>
                <w:spacing w:val="-4"/>
                <w:sz w:val="32"/>
                <w:szCs w:val="32"/>
                <w:highlight w:val="none"/>
                <w:lang w:val="en-US" w:eastAsia="zh-CN"/>
              </w:rPr>
              <w:t>万元</w:t>
            </w:r>
            <w:r>
              <w:rPr>
                <w:rStyle w:val="10"/>
                <w:rFonts w:hint="eastAsia" w:ascii="仿宋_GB2312" w:hAnsi="黑体" w:eastAsia="仿宋_GB2312" w:cs="Times New Roman"/>
                <w:b w:val="0"/>
                <w:color w:val="auto"/>
                <w:spacing w:val="-4"/>
                <w:sz w:val="32"/>
                <w:szCs w:val="32"/>
                <w:highlight w:val="none"/>
                <w:lang w:eastAsia="zh-CN"/>
              </w:rPr>
              <w:t>）</w:t>
            </w:r>
          </w:p>
        </w:tc>
        <w:tc>
          <w:tcPr>
            <w:tcW w:w="2708" w:type="dxa"/>
            <w:vAlign w:val="center"/>
          </w:tcPr>
          <w:p>
            <w:pPr>
              <w:pStyle w:val="13"/>
              <w:spacing w:line="560" w:lineRule="exact"/>
              <w:ind w:firstLine="200" w:firstLineChars="0"/>
              <w:jc w:val="center"/>
              <w:rPr>
                <w:rStyle w:val="10"/>
                <w:rFonts w:hint="eastAsia" w:ascii="仿宋_GB2312" w:hAnsi="黑体" w:eastAsia="仿宋_GB2312" w:cs="Times New Roman"/>
                <w:b w:val="0"/>
                <w:color w:val="auto"/>
                <w:spacing w:val="-4"/>
                <w:sz w:val="32"/>
                <w:szCs w:val="32"/>
                <w:highlight w:val="none"/>
                <w:lang w:eastAsia="zh-CN"/>
              </w:rPr>
            </w:pPr>
            <w:r>
              <w:rPr>
                <w:rStyle w:val="10"/>
                <w:rFonts w:hint="eastAsia" w:ascii="仿宋_GB2312" w:hAnsi="黑体" w:eastAsia="仿宋_GB2312" w:cs="Times New Roman"/>
                <w:b w:val="0"/>
                <w:color w:val="auto"/>
                <w:spacing w:val="-4"/>
                <w:sz w:val="32"/>
                <w:szCs w:val="32"/>
                <w:highlight w:val="none"/>
                <w:lang w:eastAsia="zh-CN"/>
              </w:rPr>
              <w:t>项目属性</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县配套公用经费</w:t>
            </w:r>
          </w:p>
        </w:tc>
        <w:tc>
          <w:tcPr>
            <w:tcW w:w="2600" w:type="dxa"/>
            <w:vAlign w:val="bottom"/>
          </w:tcPr>
          <w:p>
            <w:pPr>
              <w:keepNext w:val="0"/>
              <w:keepLines w:val="0"/>
              <w:widowControl/>
              <w:suppressLineNumbers w:val="0"/>
              <w:jc w:val="right"/>
              <w:textAlignment w:val="bottom"/>
              <w:rPr>
                <w:rFonts w:hint="default" w:ascii="仿宋_GB2312" w:hAnsi="仿宋" w:eastAsia="仿宋_GB2312" w:cs="宋体"/>
                <w:color w:val="auto"/>
                <w:sz w:val="32"/>
                <w:szCs w:val="32"/>
                <w:highlight w:val="none"/>
                <w:lang w:val="en-US"/>
              </w:rPr>
            </w:pPr>
            <w:r>
              <w:rPr>
                <w:rFonts w:hint="default" w:ascii="Calibri" w:hAnsi="Calibri" w:eastAsia="宋体" w:cs="Calibri"/>
                <w:i w:val="0"/>
                <w:color w:val="000000"/>
                <w:kern w:val="0"/>
                <w:sz w:val="24"/>
                <w:szCs w:val="24"/>
                <w:u w:val="none"/>
                <w:lang w:val="en-US" w:eastAsia="zh-CN" w:bidi="ar"/>
              </w:rPr>
              <w:t>0.88</w:t>
            </w:r>
          </w:p>
        </w:tc>
        <w:tc>
          <w:tcPr>
            <w:tcW w:w="2708"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县配套教师培训经费</w:t>
            </w:r>
          </w:p>
        </w:tc>
        <w:tc>
          <w:tcPr>
            <w:tcW w:w="2600" w:type="dxa"/>
            <w:vAlign w:val="bottom"/>
          </w:tcPr>
          <w:p>
            <w:pPr>
              <w:keepNext w:val="0"/>
              <w:keepLines w:val="0"/>
              <w:widowControl/>
              <w:suppressLineNumbers w:val="0"/>
              <w:jc w:val="right"/>
              <w:textAlignment w:val="bottom"/>
              <w:rPr>
                <w:rFonts w:hint="default" w:ascii="仿宋_GB2312" w:hAnsi="仿宋" w:eastAsia="仿宋_GB2312" w:cs="宋体"/>
                <w:color w:val="auto"/>
                <w:sz w:val="32"/>
                <w:szCs w:val="32"/>
                <w:highlight w:val="none"/>
                <w:lang w:val="en-US"/>
              </w:rPr>
            </w:pPr>
            <w:r>
              <w:rPr>
                <w:rFonts w:hint="default" w:ascii="Calibri" w:hAnsi="Calibri" w:eastAsia="宋体" w:cs="Calibri"/>
                <w:i w:val="0"/>
                <w:color w:val="000000"/>
                <w:kern w:val="0"/>
                <w:sz w:val="24"/>
                <w:szCs w:val="24"/>
                <w:u w:val="none"/>
                <w:lang w:val="en-US" w:eastAsia="zh-CN" w:bidi="ar"/>
              </w:rPr>
              <w:t>2.42</w:t>
            </w:r>
          </w:p>
        </w:tc>
        <w:tc>
          <w:tcPr>
            <w:tcW w:w="2708"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2022年乡村学校少年宫经费 和地财教【2022】28号</w:t>
            </w:r>
          </w:p>
        </w:tc>
        <w:tc>
          <w:tcPr>
            <w:tcW w:w="2600"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0.07</w:t>
            </w:r>
          </w:p>
        </w:tc>
        <w:tc>
          <w:tcPr>
            <w:tcW w:w="2708"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中央专项（其他资金）</w:t>
            </w:r>
          </w:p>
        </w:tc>
      </w:tr>
      <w:tr>
        <w:trPr>
          <w:trHeight w:val="601" w:hRule="atLeast"/>
        </w:trP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2022年教育直达资金（第二批营养膳食补助）</w:t>
            </w:r>
          </w:p>
        </w:tc>
        <w:tc>
          <w:tcPr>
            <w:tcW w:w="2600"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8.5</w:t>
            </w:r>
          </w:p>
        </w:tc>
        <w:tc>
          <w:tcPr>
            <w:tcW w:w="2708"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中央专项（其他资金）</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2022年城乡义务教育项目直达资金的通知（营养改善计划）</w:t>
            </w:r>
          </w:p>
        </w:tc>
        <w:tc>
          <w:tcPr>
            <w:tcW w:w="2600" w:type="dxa"/>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4.55</w:t>
            </w:r>
          </w:p>
        </w:tc>
        <w:tc>
          <w:tcPr>
            <w:tcW w:w="2708" w:type="dxa"/>
            <w:vAlign w:val="center"/>
          </w:tcPr>
          <w:p>
            <w:pPr>
              <w:keepNext w:val="0"/>
              <w:keepLines w:val="0"/>
              <w:widowControl/>
              <w:suppressLineNumbers w:val="0"/>
              <w:jc w:val="center"/>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中央专项（其他资金）</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2022年教育直达资金（第二批公用经费）</w:t>
            </w:r>
          </w:p>
        </w:tc>
        <w:tc>
          <w:tcPr>
            <w:tcW w:w="2600"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0.13</w:t>
            </w:r>
          </w:p>
        </w:tc>
        <w:tc>
          <w:tcPr>
            <w:tcW w:w="2708" w:type="dxa"/>
            <w:vAlign w:val="center"/>
          </w:tcPr>
          <w:p>
            <w:pPr>
              <w:keepNext w:val="0"/>
              <w:keepLines w:val="0"/>
              <w:widowControl/>
              <w:suppressLineNumbers w:val="0"/>
              <w:jc w:val="center"/>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2022年城乡义务教育项目直达资金（公用经费）</w:t>
            </w:r>
          </w:p>
        </w:tc>
        <w:tc>
          <w:tcPr>
            <w:tcW w:w="2600"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2.64</w:t>
            </w:r>
          </w:p>
        </w:tc>
        <w:tc>
          <w:tcPr>
            <w:tcW w:w="2708" w:type="dxa"/>
            <w:vAlign w:val="center"/>
          </w:tcPr>
          <w:p>
            <w:pPr>
              <w:keepNext w:val="0"/>
              <w:keepLines w:val="0"/>
              <w:widowControl/>
              <w:suppressLineNumbers w:val="0"/>
              <w:jc w:val="center"/>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10"/>
          <w:rFonts w:ascii="楷体" w:hAnsi="楷体" w:eastAsia="楷体" w:cs="Times New Roman"/>
          <w:b/>
          <w:bCs/>
          <w:color w:val="auto"/>
          <w:spacing w:val="-4"/>
          <w:highlight w:val="none"/>
        </w:rPr>
      </w:pPr>
      <w:r>
        <w:rPr>
          <w:rStyle w:val="10"/>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10"/>
          <w:rFonts w:ascii="楷体" w:hAnsi="楷体" w:eastAsia="楷体" w:cs="Times New Roman"/>
          <w:b w:val="0"/>
          <w:bCs w:val="0"/>
          <w:color w:val="auto"/>
          <w:spacing w:val="-4"/>
          <w:sz w:val="32"/>
          <w:szCs w:val="32"/>
          <w:highlight w:val="none"/>
        </w:rPr>
      </w:pPr>
      <w:r>
        <w:rPr>
          <w:rStyle w:val="10"/>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安迪尔乡中心小学</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552.78</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552.76</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0.02万元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552.78</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10"/>
          <w:rFonts w:ascii="楷体" w:hAnsi="楷体" w:eastAsia="楷体" w:cs="Times New Roman"/>
          <w:b/>
          <w:bCs/>
          <w:color w:val="auto"/>
          <w:spacing w:val="-4"/>
          <w:sz w:val="32"/>
          <w:szCs w:val="32"/>
          <w:highlight w:val="none"/>
        </w:rPr>
      </w:pPr>
      <w:r>
        <w:rPr>
          <w:rStyle w:val="10"/>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15.89</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11.34</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71.37</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5</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4</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1</w:t>
      </w:r>
      <w:r>
        <w:rPr>
          <w:rFonts w:hint="eastAsia" w:ascii="仿宋_GB2312" w:hAnsi="方正楷体简体" w:eastAsia="仿宋_GB2312" w:cs="宋体"/>
          <w:color w:val="auto"/>
          <w:sz w:val="32"/>
          <w:szCs w:val="32"/>
          <w:highlight w:val="none"/>
        </w:rPr>
        <w:t>个。</w:t>
      </w: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年度项目预算及执行情况见下表：</w:t>
      </w:r>
    </w:p>
    <w:tbl>
      <w:tblPr>
        <w:tblStyle w:val="7"/>
        <w:tblW w:w="9997" w:type="dxa"/>
        <w:tblInd w:w="-319" w:type="dxa"/>
        <w:tblLayout w:type="fixed"/>
        <w:tblCellMar>
          <w:top w:w="0" w:type="dxa"/>
          <w:left w:w="108" w:type="dxa"/>
          <w:bottom w:w="0" w:type="dxa"/>
          <w:right w:w="108" w:type="dxa"/>
        </w:tblCellMar>
      </w:tblPr>
      <w:tblGrid>
        <w:gridCol w:w="3213"/>
        <w:gridCol w:w="1664"/>
        <w:gridCol w:w="2073"/>
        <w:gridCol w:w="1527"/>
        <w:gridCol w:w="1520"/>
      </w:tblGrid>
      <w:tr>
        <w:trPr>
          <w:trHeight w:val="1062"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560" w:lineRule="exact"/>
              <w:ind w:firstLine="200"/>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项目名称</w:t>
            </w:r>
          </w:p>
        </w:tc>
        <w:tc>
          <w:tcPr>
            <w:tcW w:w="1664" w:type="dxa"/>
            <w:tcBorders>
              <w:top w:val="single" w:color="auto" w:sz="8" w:space="0"/>
              <w:left w:val="nil"/>
              <w:bottom w:val="single" w:color="auto" w:sz="8" w:space="0"/>
              <w:right w:val="single" w:color="auto" w:sz="8" w:space="0"/>
            </w:tcBorders>
            <w:shd w:val="clear" w:color="auto" w:fill="auto"/>
            <w:vAlign w:val="center"/>
          </w:tcPr>
          <w:p>
            <w:pPr>
              <w:spacing w:line="240" w:lineRule="auto"/>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预算金额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2073"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lang w:eastAsia="zh-CN"/>
              </w:rPr>
              <w:t>项目属性</w:t>
            </w:r>
          </w:p>
        </w:tc>
        <w:tc>
          <w:tcPr>
            <w:tcW w:w="1527"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执行金额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1520"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执行率</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2022年乡村学校少年宫经费 和地财教【2022】28号</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0.07</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4"/>
                <w:szCs w:val="24"/>
                <w:highlight w:val="none"/>
              </w:rPr>
            </w:pPr>
            <w:r>
              <w:rPr>
                <w:rFonts w:hint="eastAsia" w:ascii="仿宋_GB2312" w:hAnsi="仿宋" w:eastAsia="仿宋_GB2312" w:cs="宋体"/>
                <w:color w:val="auto"/>
                <w:sz w:val="22"/>
                <w:szCs w:val="22"/>
                <w:highlight w:val="none"/>
                <w:lang w:val="en-US" w:eastAsia="zh-CN"/>
              </w:rPr>
              <w:t>中央专项（其他资金）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0.07</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eastAsia" w:ascii="Calibri" w:hAnsi="Calibri" w:cs="Calibri"/>
                <w:i w:val="0"/>
                <w:color w:val="000000"/>
                <w:kern w:val="0"/>
                <w:sz w:val="24"/>
                <w:szCs w:val="24"/>
                <w:u w:val="none"/>
                <w:lang w:val="en-US" w:eastAsia="zh-CN" w:bidi="ar"/>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2022年教育直达资金（第二批营养膳食补助）</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8.5</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8.5</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default" w:ascii="Calibri" w:hAnsi="Calibri" w:eastAsia="宋体" w:cs="Calibri"/>
                <w:i w:val="0"/>
                <w:color w:val="000000"/>
                <w:kern w:val="0"/>
                <w:sz w:val="24"/>
                <w:szCs w:val="24"/>
                <w:u w:val="none"/>
                <w:lang w:val="en-US" w:eastAsia="zh-CN" w:bidi="ar"/>
              </w:rPr>
              <w:t>1</w:t>
            </w:r>
            <w:r>
              <w:rPr>
                <w:rFonts w:hint="eastAsia" w:ascii="Calibri" w:hAnsi="Calibri" w:cs="Calibri"/>
                <w:i w:val="0"/>
                <w:color w:val="000000"/>
                <w:kern w:val="0"/>
                <w:sz w:val="24"/>
                <w:szCs w:val="24"/>
                <w:u w:val="none"/>
                <w:lang w:val="en-US" w:eastAsia="zh-CN" w:bidi="ar"/>
              </w:rPr>
              <w:t>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2022年城乡义务教育项目直达资金的通知（营养改善计划）</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4.55</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eastAsia" w:ascii="Calibri" w:hAnsi="Calibri" w:cs="Calibri"/>
                <w:i w:val="0"/>
                <w:color w:val="000000"/>
                <w:kern w:val="0"/>
                <w:sz w:val="24"/>
                <w:szCs w:val="24"/>
                <w:u w:val="none"/>
                <w:lang w:val="en-US" w:eastAsia="zh-CN" w:bidi="ar"/>
              </w:rPr>
              <w:t>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2022年教育直达资金（第二批公用经费）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0.13</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0.13</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eastAsia" w:ascii="Calibri" w:hAnsi="Calibri" w:cs="Calibri"/>
                <w:i w:val="0"/>
                <w:color w:val="000000"/>
                <w:kern w:val="0"/>
                <w:sz w:val="24"/>
                <w:szCs w:val="24"/>
                <w:u w:val="none"/>
                <w:lang w:val="en-US" w:eastAsia="zh-CN" w:bidi="ar"/>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2022年城乡义务教育项目直达资金（公用经费）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2.64</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2.64</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cs="Calibri"/>
                <w:i w:val="0"/>
                <w:color w:val="000000"/>
                <w:kern w:val="0"/>
                <w:sz w:val="24"/>
                <w:szCs w:val="24"/>
                <w:u w:val="none"/>
                <w:lang w:val="en-US" w:eastAsia="zh-CN" w:bidi="ar"/>
              </w:rPr>
            </w:pPr>
            <w:r>
              <w:rPr>
                <w:rFonts w:hint="eastAsia" w:ascii="Calibri" w:hAnsi="Calibri" w:cs="Calibri"/>
                <w:i w:val="0"/>
                <w:color w:val="000000"/>
                <w:kern w:val="0"/>
                <w:sz w:val="24"/>
                <w:szCs w:val="24"/>
                <w:u w:val="none"/>
                <w:lang w:val="en-US" w:eastAsia="zh-CN" w:bidi="ar"/>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b/>
                <w:bCs/>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合计</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15.89</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kern w:val="0"/>
                <w:sz w:val="22"/>
                <w:szCs w:val="22"/>
                <w:highlight w:val="none"/>
                <w:u w:val="none"/>
                <w:lang w:val="en-US" w:eastAsia="zh-CN" w:bidi="ar"/>
              </w:rPr>
            </w:pP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11.34</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32"/>
                <w:szCs w:val="32"/>
                <w:highlight w:val="none"/>
              </w:rPr>
            </w:pPr>
            <w:r>
              <w:rPr>
                <w:rFonts w:hint="eastAsia" w:ascii="仿宋_GB2312" w:hAnsi="仿宋" w:eastAsia="仿宋_GB2312" w:cs="宋体"/>
                <w:color w:val="auto"/>
                <w:kern w:val="0"/>
                <w:sz w:val="22"/>
                <w:szCs w:val="22"/>
                <w:highlight w:val="none"/>
                <w:lang w:val="en-US" w:eastAsia="zh-CN"/>
              </w:rPr>
              <w:t>71.37%</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（1）</w:t>
      </w:r>
      <w:r>
        <w:rPr>
          <w:rFonts w:hint="default" w:ascii="仿宋_GB2312" w:hAnsi="方正楷体简体" w:eastAsia="仿宋_GB2312" w:cs="宋体"/>
          <w:color w:val="auto"/>
          <w:sz w:val="32"/>
          <w:szCs w:val="32"/>
          <w:highlight w:val="none"/>
          <w:lang w:val="en-US" w:eastAsia="zh-CN"/>
        </w:rPr>
        <w:t>2022年城乡义务教育项目直达资金的通知（营养改善计划）</w:t>
      </w:r>
      <w:r>
        <w:rPr>
          <w:rFonts w:hint="eastAsia" w:ascii="仿宋_GB2312" w:hAnsi="方正楷体简体" w:eastAsia="仿宋_GB2312" w:cs="宋体"/>
          <w:color w:val="auto"/>
          <w:sz w:val="32"/>
          <w:szCs w:val="32"/>
          <w:highlight w:val="none"/>
          <w:lang w:val="en-US" w:eastAsia="zh-CN"/>
        </w:rPr>
        <w:t>：由于特殊情况学生居家隔离，所以学校不提供伙食补助，导致资金未执行；</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10"/>
          <w:rFonts w:hint="eastAsia"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10"/>
          <w:rFonts w:hint="eastAsia" w:ascii="楷体" w:hAnsi="楷体" w:eastAsia="楷体" w:cs="楷体"/>
          <w:b/>
          <w:bCs w:val="0"/>
          <w:color w:val="auto"/>
          <w:spacing w:val="-4"/>
          <w:sz w:val="32"/>
          <w:szCs w:val="32"/>
          <w:highlight w:val="none"/>
          <w:lang w:val="en-US" w:eastAsia="zh-CN"/>
        </w:rPr>
        <w:t>（一）指标一：享受资助补助政策学生数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享受资助补助政策学生数，预期指标是大于等于225人，年中绩效运行监控完成值是225人，本次评价实际完成值是225人，达到预期目标。</w:t>
      </w:r>
    </w:p>
    <w:p>
      <w:pPr>
        <w:spacing w:line="540" w:lineRule="exact"/>
        <w:ind w:firstLine="565" w:firstLineChars="181"/>
        <w:rPr>
          <w:rStyle w:val="10"/>
          <w:rFonts w:hint="eastAsia" w:ascii="楷体" w:hAnsi="楷体" w:eastAsia="楷体" w:cs="楷体"/>
          <w:b/>
          <w:bCs w:val="0"/>
          <w:color w:val="auto"/>
          <w:spacing w:val="-4"/>
          <w:sz w:val="32"/>
          <w:szCs w:val="32"/>
          <w:highlight w:val="none"/>
          <w:lang w:val="en-US" w:eastAsia="zh-CN"/>
        </w:rPr>
      </w:pPr>
      <w:r>
        <w:rPr>
          <w:rStyle w:val="10"/>
          <w:rFonts w:hint="eastAsia" w:ascii="楷体" w:hAnsi="楷体" w:eastAsia="楷体" w:cs="楷体"/>
          <w:b/>
          <w:bCs w:val="0"/>
          <w:color w:val="auto"/>
          <w:spacing w:val="-4"/>
          <w:sz w:val="32"/>
          <w:szCs w:val="32"/>
          <w:highlight w:val="none"/>
          <w:lang w:val="en-US" w:eastAsia="zh-CN"/>
        </w:rPr>
        <w:t>（二）指标二：补助发放覆盖率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补助发放覆盖率，预期指标是</w:t>
      </w:r>
      <w:r>
        <w:rPr>
          <w:rFonts w:hint="eastAsia" w:ascii="仿宋_GB2312" w:hAnsi="仿宋" w:eastAsia="仿宋_GB2312"/>
          <w:color w:val="auto"/>
          <w:sz w:val="32"/>
          <w:szCs w:val="32"/>
          <w:highlight w:val="none"/>
          <w:lang w:val="en-US" w:eastAsia="zh-CN"/>
        </w:rPr>
        <w:t>大于等于90%</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10"/>
          <w:rFonts w:hint="eastAsia" w:ascii="仿宋_GB2312" w:hAnsi="楷体" w:eastAsia="仿宋_GB2312" w:cs="Times New Roman"/>
          <w:b w:val="0"/>
          <w:color w:val="auto"/>
          <w:spacing w:val="-4"/>
          <w:sz w:val="32"/>
          <w:szCs w:val="32"/>
          <w:highlight w:val="none"/>
          <w:lang w:val="en-US" w:eastAsia="zh-CN"/>
        </w:rPr>
        <w:t>90%</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本次评价实际完成值是90%，</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10"/>
          <w:rFonts w:hint="eastAsia" w:ascii="楷体" w:hAnsi="楷体" w:eastAsia="楷体" w:cs="楷体"/>
          <w:b/>
          <w:bCs w:val="0"/>
          <w:color w:val="auto"/>
          <w:spacing w:val="-4"/>
          <w:sz w:val="32"/>
          <w:szCs w:val="32"/>
          <w:highlight w:val="none"/>
          <w:lang w:val="en-US" w:eastAsia="zh-CN"/>
        </w:rPr>
      </w:pPr>
      <w:r>
        <w:rPr>
          <w:rStyle w:val="10"/>
          <w:rFonts w:hint="eastAsia" w:ascii="楷体" w:hAnsi="楷体" w:eastAsia="楷体" w:cs="楷体"/>
          <w:b/>
          <w:bCs w:val="0"/>
          <w:color w:val="auto"/>
          <w:spacing w:val="-4"/>
          <w:sz w:val="32"/>
          <w:szCs w:val="32"/>
          <w:highlight w:val="none"/>
          <w:lang w:val="en-US" w:eastAsia="zh-CN"/>
        </w:rPr>
        <w:t>（三）指标三：入学率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入学率，预期指标是</w:t>
      </w:r>
      <w:r>
        <w:rPr>
          <w:rFonts w:hint="eastAsia" w:ascii="仿宋_GB2312" w:hAnsi="仿宋" w:eastAsia="仿宋_GB2312"/>
          <w:color w:val="auto"/>
          <w:sz w:val="32"/>
          <w:szCs w:val="32"/>
          <w:highlight w:val="none"/>
          <w:lang w:val="en-US" w:eastAsia="zh-CN"/>
        </w:rPr>
        <w:t>大于等于97%</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w:t>
      </w:r>
      <w:r>
        <w:rPr>
          <w:rStyle w:val="10"/>
          <w:rFonts w:hint="eastAsia" w:ascii="仿宋_GB2312" w:hAnsi="楷体" w:eastAsia="仿宋_GB2312" w:cs="Times New Roman"/>
          <w:b w:val="0"/>
          <w:color w:val="auto"/>
          <w:spacing w:val="-4"/>
          <w:sz w:val="32"/>
          <w:szCs w:val="32"/>
          <w:highlight w:val="none"/>
          <w:lang w:val="en-US" w:eastAsia="zh-CN"/>
        </w:rPr>
        <w:t>7%</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本次评价实际完成值是97%，</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10"/>
          <w:rFonts w:hint="eastAsia" w:ascii="楷体" w:hAnsi="楷体" w:eastAsia="楷体" w:cs="楷体"/>
          <w:b/>
          <w:bCs w:val="0"/>
          <w:color w:val="auto"/>
          <w:spacing w:val="-4"/>
          <w:sz w:val="32"/>
          <w:szCs w:val="32"/>
          <w:highlight w:val="none"/>
          <w:lang w:val="en-US" w:eastAsia="zh-CN"/>
        </w:rPr>
      </w:pPr>
      <w:r>
        <w:rPr>
          <w:rStyle w:val="10"/>
          <w:rFonts w:hint="eastAsia" w:ascii="楷体" w:hAnsi="楷体" w:eastAsia="楷体" w:cs="楷体"/>
          <w:b/>
          <w:bCs w:val="0"/>
          <w:color w:val="auto"/>
          <w:spacing w:val="-4"/>
          <w:sz w:val="32"/>
          <w:szCs w:val="32"/>
          <w:highlight w:val="none"/>
          <w:lang w:val="en-US" w:eastAsia="zh-CN"/>
        </w:rPr>
        <w:t>（四）指标四：受益学生满意率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受益学生满意率，预期指标是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95</w:t>
      </w:r>
      <w:r>
        <w:rPr>
          <w:rStyle w:val="10"/>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本次评价实际完成值是95%，</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10"/>
          <w:rFonts w:hint="eastAsia" w:ascii="楷体" w:hAnsi="楷体" w:eastAsia="楷体" w:cs="楷体"/>
          <w:b/>
          <w:bCs w:val="0"/>
          <w:color w:val="auto"/>
          <w:spacing w:val="-4"/>
          <w:sz w:val="32"/>
          <w:szCs w:val="32"/>
          <w:highlight w:val="none"/>
          <w:lang w:val="en-US" w:eastAsia="zh-CN"/>
        </w:rPr>
      </w:pPr>
      <w:r>
        <w:rPr>
          <w:rStyle w:val="10"/>
          <w:rFonts w:hint="eastAsia" w:ascii="楷体" w:hAnsi="楷体" w:eastAsia="楷体" w:cs="楷体"/>
          <w:b/>
          <w:bCs w:val="0"/>
          <w:color w:val="auto"/>
          <w:spacing w:val="-4"/>
          <w:sz w:val="32"/>
          <w:szCs w:val="32"/>
          <w:highlight w:val="none"/>
          <w:lang w:val="en-US" w:eastAsia="zh-CN"/>
        </w:rPr>
        <w:t>（五）指标五：受益学生家长满意率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受益学生家长满意率，预期指标是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95</w:t>
      </w:r>
      <w:r>
        <w:rPr>
          <w:rStyle w:val="10"/>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本次评价实际完成值是95%，</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10"/>
          <w:rFonts w:hint="eastAsia" w:ascii="仿宋_GB2312" w:hAnsi="楷体" w:eastAsia="仿宋_GB2312" w:cs="Times New Roman"/>
          <w:b w:val="0"/>
          <w:color w:val="auto"/>
          <w:spacing w:val="-4"/>
          <w:sz w:val="32"/>
          <w:szCs w:val="32"/>
          <w:highlight w:val="none"/>
          <w:lang w:val="en-US" w:eastAsia="zh-CN"/>
        </w:rPr>
        <w:t>2023年度部门整体支出绩效自评综合得分99.86分，评价结果为“优”。</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对个别项目资金使用方面预算不够细致，出现实际支出数超出了预算申报数和出现项目资金结</w:t>
      </w:r>
      <w:r>
        <w:rPr>
          <w:rFonts w:hint="eastAsia" w:ascii="仿宋_GB2312" w:hAnsi="仿宋" w:eastAsia="仿宋_GB2312" w:cs="仿宋"/>
          <w:color w:val="auto"/>
          <w:spacing w:val="-4"/>
          <w:sz w:val="32"/>
          <w:szCs w:val="32"/>
          <w:highlight w:val="none"/>
          <w:lang w:eastAsia="zh-CN"/>
        </w:rPr>
        <w:t>余数</w:t>
      </w:r>
      <w:r>
        <w:rPr>
          <w:rFonts w:ascii="仿宋_GB2312" w:hAnsi="仿宋" w:eastAsia="仿宋_GB2312" w:cs="仿宋"/>
          <w:color w:val="auto"/>
          <w:spacing w:val="-4"/>
          <w:sz w:val="32"/>
          <w:szCs w:val="32"/>
          <w:highlight w:val="none"/>
        </w:rPr>
        <w:t>额多的情况。</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3"/>
        <w:numPr>
          <w:ilvl w:val="0"/>
          <w:numId w:val="0"/>
        </w:numPr>
        <w:snapToGrid w:val="0"/>
        <w:spacing w:line="540" w:lineRule="exact"/>
        <w:ind w:left="640" w:leftChars="0"/>
        <w:rPr>
          <w:rStyle w:val="10"/>
          <w:rFonts w:hint="default" w:ascii="黑体" w:hAnsi="黑体" w:eastAsia="黑体"/>
          <w:b w:val="0"/>
          <w:bCs w:val="0"/>
          <w:color w:val="auto"/>
          <w:spacing w:val="-4"/>
          <w:sz w:val="32"/>
          <w:szCs w:val="32"/>
          <w:highlight w:val="none"/>
        </w:rPr>
      </w:pPr>
    </w:p>
    <w:p>
      <w:pPr>
        <w:pStyle w:val="13"/>
        <w:numPr>
          <w:ilvl w:val="0"/>
          <w:numId w:val="0"/>
        </w:numPr>
        <w:snapToGrid w:val="0"/>
        <w:spacing w:line="540" w:lineRule="exact"/>
        <w:ind w:left="640" w:leftChars="0"/>
        <w:rPr>
          <w:rStyle w:val="10"/>
          <w:rFonts w:ascii="黑体" w:hAnsi="黑体" w:eastAsia="黑体"/>
          <w:b w:val="0"/>
          <w:bCs w:val="0"/>
          <w:color w:val="auto"/>
          <w:spacing w:val="-4"/>
          <w:sz w:val="32"/>
          <w:szCs w:val="32"/>
          <w:highlight w:val="none"/>
        </w:rPr>
      </w:pPr>
      <w:r>
        <w:rPr>
          <w:rStyle w:val="10"/>
          <w:rFonts w:hint="default" w:ascii="黑体" w:hAnsi="黑体" w:eastAsia="黑体"/>
          <w:b w:val="0"/>
          <w:bCs w:val="0"/>
          <w:color w:val="auto"/>
          <w:spacing w:val="-4"/>
          <w:sz w:val="32"/>
          <w:szCs w:val="32"/>
          <w:highlight w:val="none"/>
        </w:rPr>
        <w:t>六、</w:t>
      </w:r>
      <w:r>
        <w:rPr>
          <w:rStyle w:val="10"/>
          <w:rFonts w:hint="eastAsia" w:ascii="黑体" w:hAnsi="黑体" w:eastAsia="黑体"/>
          <w:b w:val="0"/>
          <w:bCs w:val="0"/>
          <w:color w:val="auto"/>
          <w:spacing w:val="-4"/>
          <w:sz w:val="32"/>
          <w:szCs w:val="32"/>
          <w:highlight w:val="none"/>
        </w:rPr>
        <w:t>改进措施和建议</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689D1B"/>
    <w:multiLevelType w:val="singleLevel"/>
    <w:tmpl w:val="46689D1B"/>
    <w:lvl w:ilvl="0" w:tentative="0">
      <w:start w:val="2"/>
      <w:numFmt w:val="decimal"/>
      <w:suff w:val="nothing"/>
      <w:lvlText w:val="（%1）"/>
      <w:lvlJc w:val="left"/>
      <w:pPr>
        <w:ind w:left="200"/>
      </w:pPr>
    </w:lvl>
  </w:abstractNum>
  <w:abstractNum w:abstractNumId="1">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4A6D16"/>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83466"/>
    <w:rsid w:val="00CE0C6C"/>
    <w:rsid w:val="00DB647F"/>
    <w:rsid w:val="00DC7E33"/>
    <w:rsid w:val="00E40ABD"/>
    <w:rsid w:val="00E54023"/>
    <w:rsid w:val="00E8616A"/>
    <w:rsid w:val="00EB3604"/>
    <w:rsid w:val="01057E1B"/>
    <w:rsid w:val="01A65187"/>
    <w:rsid w:val="020B07BA"/>
    <w:rsid w:val="021C20B0"/>
    <w:rsid w:val="02273307"/>
    <w:rsid w:val="025F60B9"/>
    <w:rsid w:val="02656D15"/>
    <w:rsid w:val="02965E8D"/>
    <w:rsid w:val="02FB6F8B"/>
    <w:rsid w:val="03163578"/>
    <w:rsid w:val="037F0728"/>
    <w:rsid w:val="03D360F1"/>
    <w:rsid w:val="03D6322A"/>
    <w:rsid w:val="04440438"/>
    <w:rsid w:val="04D06597"/>
    <w:rsid w:val="04E4679D"/>
    <w:rsid w:val="051C3270"/>
    <w:rsid w:val="052C3A5E"/>
    <w:rsid w:val="053C376F"/>
    <w:rsid w:val="056B2C09"/>
    <w:rsid w:val="05731446"/>
    <w:rsid w:val="05C54EBE"/>
    <w:rsid w:val="05CB6613"/>
    <w:rsid w:val="05FF16D0"/>
    <w:rsid w:val="065340BF"/>
    <w:rsid w:val="06696209"/>
    <w:rsid w:val="071976DD"/>
    <w:rsid w:val="07505305"/>
    <w:rsid w:val="079B1AB6"/>
    <w:rsid w:val="08CC471F"/>
    <w:rsid w:val="098242D9"/>
    <w:rsid w:val="09BB33DC"/>
    <w:rsid w:val="0A417E47"/>
    <w:rsid w:val="0A662AB3"/>
    <w:rsid w:val="0A86769F"/>
    <w:rsid w:val="0AFE5A2E"/>
    <w:rsid w:val="0B6F48AA"/>
    <w:rsid w:val="0BC64CF0"/>
    <w:rsid w:val="0BD52702"/>
    <w:rsid w:val="0C1013EF"/>
    <w:rsid w:val="0C354671"/>
    <w:rsid w:val="0C993046"/>
    <w:rsid w:val="0CB7795C"/>
    <w:rsid w:val="0CDC1928"/>
    <w:rsid w:val="0D19113A"/>
    <w:rsid w:val="0D1922F1"/>
    <w:rsid w:val="0D9F0DF1"/>
    <w:rsid w:val="0DBD196E"/>
    <w:rsid w:val="0E325CFD"/>
    <w:rsid w:val="0E737D65"/>
    <w:rsid w:val="0F471127"/>
    <w:rsid w:val="0F764A1E"/>
    <w:rsid w:val="0FA5497F"/>
    <w:rsid w:val="10DF6E84"/>
    <w:rsid w:val="119055B4"/>
    <w:rsid w:val="11BC0931"/>
    <w:rsid w:val="11F017F5"/>
    <w:rsid w:val="120D1EEA"/>
    <w:rsid w:val="123F73AE"/>
    <w:rsid w:val="127423D4"/>
    <w:rsid w:val="12D07449"/>
    <w:rsid w:val="12E977B3"/>
    <w:rsid w:val="13072B53"/>
    <w:rsid w:val="13850B5F"/>
    <w:rsid w:val="141E6282"/>
    <w:rsid w:val="1438599A"/>
    <w:rsid w:val="14775B53"/>
    <w:rsid w:val="14F27B7B"/>
    <w:rsid w:val="163A6974"/>
    <w:rsid w:val="172267ED"/>
    <w:rsid w:val="18344297"/>
    <w:rsid w:val="18583B52"/>
    <w:rsid w:val="188924B6"/>
    <w:rsid w:val="189E58C4"/>
    <w:rsid w:val="190B5D28"/>
    <w:rsid w:val="197406AD"/>
    <w:rsid w:val="1999359E"/>
    <w:rsid w:val="19E24A4E"/>
    <w:rsid w:val="19F6744F"/>
    <w:rsid w:val="19FE0A5D"/>
    <w:rsid w:val="1B1332CA"/>
    <w:rsid w:val="1BFA024C"/>
    <w:rsid w:val="1C94135C"/>
    <w:rsid w:val="1CBE5A05"/>
    <w:rsid w:val="1CDE4763"/>
    <w:rsid w:val="1CFB4A3F"/>
    <w:rsid w:val="1D073223"/>
    <w:rsid w:val="1D312343"/>
    <w:rsid w:val="1D5925E2"/>
    <w:rsid w:val="1D95187B"/>
    <w:rsid w:val="1DAF651A"/>
    <w:rsid w:val="1DD83B52"/>
    <w:rsid w:val="1F2E40D0"/>
    <w:rsid w:val="1F90448E"/>
    <w:rsid w:val="1F924506"/>
    <w:rsid w:val="1FBB36D6"/>
    <w:rsid w:val="200F4073"/>
    <w:rsid w:val="20E01B07"/>
    <w:rsid w:val="210248A0"/>
    <w:rsid w:val="211F7E62"/>
    <w:rsid w:val="215A51EF"/>
    <w:rsid w:val="21E22F6F"/>
    <w:rsid w:val="229016F2"/>
    <w:rsid w:val="234268C5"/>
    <w:rsid w:val="236F5373"/>
    <w:rsid w:val="23741243"/>
    <w:rsid w:val="23820713"/>
    <w:rsid w:val="247B4D27"/>
    <w:rsid w:val="24B86128"/>
    <w:rsid w:val="25930A3E"/>
    <w:rsid w:val="26122C15"/>
    <w:rsid w:val="28F109D1"/>
    <w:rsid w:val="290C455A"/>
    <w:rsid w:val="291F3644"/>
    <w:rsid w:val="29C30BFF"/>
    <w:rsid w:val="2A5E264B"/>
    <w:rsid w:val="2AF4485D"/>
    <w:rsid w:val="2AF77D81"/>
    <w:rsid w:val="2B043BBD"/>
    <w:rsid w:val="2B0B7A6F"/>
    <w:rsid w:val="2B131174"/>
    <w:rsid w:val="2B4341EB"/>
    <w:rsid w:val="2B513E61"/>
    <w:rsid w:val="2C041663"/>
    <w:rsid w:val="2C454A8E"/>
    <w:rsid w:val="2C9909D9"/>
    <w:rsid w:val="2C9E18B5"/>
    <w:rsid w:val="2D8F0F02"/>
    <w:rsid w:val="2DC21BBA"/>
    <w:rsid w:val="2DCC2272"/>
    <w:rsid w:val="2DE92A48"/>
    <w:rsid w:val="2E501733"/>
    <w:rsid w:val="2E913C19"/>
    <w:rsid w:val="2EE7129F"/>
    <w:rsid w:val="2EF80FF5"/>
    <w:rsid w:val="30252FB1"/>
    <w:rsid w:val="307179D7"/>
    <w:rsid w:val="30A967BD"/>
    <w:rsid w:val="30AA463E"/>
    <w:rsid w:val="30BD2E56"/>
    <w:rsid w:val="30C71428"/>
    <w:rsid w:val="30E6123B"/>
    <w:rsid w:val="31153648"/>
    <w:rsid w:val="311D1738"/>
    <w:rsid w:val="3148295B"/>
    <w:rsid w:val="31DC2E54"/>
    <w:rsid w:val="32343B11"/>
    <w:rsid w:val="32650FE8"/>
    <w:rsid w:val="328647CF"/>
    <w:rsid w:val="32F63DCB"/>
    <w:rsid w:val="333649EA"/>
    <w:rsid w:val="334B0733"/>
    <w:rsid w:val="3353337A"/>
    <w:rsid w:val="33D53037"/>
    <w:rsid w:val="34583CA2"/>
    <w:rsid w:val="34976F0F"/>
    <w:rsid w:val="350E12DF"/>
    <w:rsid w:val="35274E80"/>
    <w:rsid w:val="35446943"/>
    <w:rsid w:val="35752DE8"/>
    <w:rsid w:val="36E918C3"/>
    <w:rsid w:val="37213B34"/>
    <w:rsid w:val="37847141"/>
    <w:rsid w:val="379C4287"/>
    <w:rsid w:val="37E01ED0"/>
    <w:rsid w:val="38A61EBD"/>
    <w:rsid w:val="38BD6D70"/>
    <w:rsid w:val="3A176C78"/>
    <w:rsid w:val="3A474574"/>
    <w:rsid w:val="3A560600"/>
    <w:rsid w:val="3A6433F2"/>
    <w:rsid w:val="3ABA302D"/>
    <w:rsid w:val="3ACD44AA"/>
    <w:rsid w:val="3AE1577B"/>
    <w:rsid w:val="3B275995"/>
    <w:rsid w:val="3B31606E"/>
    <w:rsid w:val="3BBF2075"/>
    <w:rsid w:val="3C1B2B4E"/>
    <w:rsid w:val="3D066B28"/>
    <w:rsid w:val="3E502FE6"/>
    <w:rsid w:val="3E56325C"/>
    <w:rsid w:val="3EA805D2"/>
    <w:rsid w:val="3F9A26C0"/>
    <w:rsid w:val="3FD249C9"/>
    <w:rsid w:val="3FD35BB0"/>
    <w:rsid w:val="4004687B"/>
    <w:rsid w:val="40561505"/>
    <w:rsid w:val="40C329C5"/>
    <w:rsid w:val="40F5701C"/>
    <w:rsid w:val="421B0BD5"/>
    <w:rsid w:val="421C6A8E"/>
    <w:rsid w:val="42715D92"/>
    <w:rsid w:val="42D40A95"/>
    <w:rsid w:val="42D76E89"/>
    <w:rsid w:val="42ED7A1D"/>
    <w:rsid w:val="433C35D6"/>
    <w:rsid w:val="44081B00"/>
    <w:rsid w:val="441D492B"/>
    <w:rsid w:val="44202481"/>
    <w:rsid w:val="442B745C"/>
    <w:rsid w:val="455525A3"/>
    <w:rsid w:val="455F5770"/>
    <w:rsid w:val="46CC7CC3"/>
    <w:rsid w:val="479C0BE3"/>
    <w:rsid w:val="47BE6FFB"/>
    <w:rsid w:val="485537A5"/>
    <w:rsid w:val="490A03E5"/>
    <w:rsid w:val="4BAC0DA8"/>
    <w:rsid w:val="4CAD59B7"/>
    <w:rsid w:val="4CE26E4A"/>
    <w:rsid w:val="4CEE4B39"/>
    <w:rsid w:val="4D235B00"/>
    <w:rsid w:val="4D5352D2"/>
    <w:rsid w:val="4D927FC4"/>
    <w:rsid w:val="4DE56F14"/>
    <w:rsid w:val="4F245112"/>
    <w:rsid w:val="50761DD0"/>
    <w:rsid w:val="50966E31"/>
    <w:rsid w:val="50AC5F11"/>
    <w:rsid w:val="50E644F7"/>
    <w:rsid w:val="50FC6FB1"/>
    <w:rsid w:val="510C3E14"/>
    <w:rsid w:val="51936956"/>
    <w:rsid w:val="51C70EA9"/>
    <w:rsid w:val="51EC08C3"/>
    <w:rsid w:val="529463CC"/>
    <w:rsid w:val="52C11839"/>
    <w:rsid w:val="52DD0612"/>
    <w:rsid w:val="535401CD"/>
    <w:rsid w:val="53616619"/>
    <w:rsid w:val="53990329"/>
    <w:rsid w:val="53B535AD"/>
    <w:rsid w:val="53EF3CB0"/>
    <w:rsid w:val="54191C62"/>
    <w:rsid w:val="54942087"/>
    <w:rsid w:val="54F842B6"/>
    <w:rsid w:val="55525A1B"/>
    <w:rsid w:val="57C514DD"/>
    <w:rsid w:val="57F754E9"/>
    <w:rsid w:val="58125EAF"/>
    <w:rsid w:val="587962AC"/>
    <w:rsid w:val="58CB188F"/>
    <w:rsid w:val="58CF52AA"/>
    <w:rsid w:val="58F84CC2"/>
    <w:rsid w:val="58FB7FD2"/>
    <w:rsid w:val="59315140"/>
    <w:rsid w:val="59E8491A"/>
    <w:rsid w:val="5A0E2CE8"/>
    <w:rsid w:val="5A5005EF"/>
    <w:rsid w:val="5AE70C2F"/>
    <w:rsid w:val="5B317016"/>
    <w:rsid w:val="5B612024"/>
    <w:rsid w:val="5B844DDF"/>
    <w:rsid w:val="5B9757C7"/>
    <w:rsid w:val="5BD87229"/>
    <w:rsid w:val="5C464E4E"/>
    <w:rsid w:val="5C47767B"/>
    <w:rsid w:val="5CC72C7C"/>
    <w:rsid w:val="5D7F5CA3"/>
    <w:rsid w:val="5DAB0D44"/>
    <w:rsid w:val="5DC22EEB"/>
    <w:rsid w:val="5E3C300C"/>
    <w:rsid w:val="5E807869"/>
    <w:rsid w:val="5EB12FFC"/>
    <w:rsid w:val="5EC119C1"/>
    <w:rsid w:val="5ECD3880"/>
    <w:rsid w:val="5EF13F01"/>
    <w:rsid w:val="5F4E1321"/>
    <w:rsid w:val="5FCF4505"/>
    <w:rsid w:val="60413014"/>
    <w:rsid w:val="60590DDE"/>
    <w:rsid w:val="60810646"/>
    <w:rsid w:val="60861653"/>
    <w:rsid w:val="60A001E1"/>
    <w:rsid w:val="61533F93"/>
    <w:rsid w:val="618E3258"/>
    <w:rsid w:val="61CC3282"/>
    <w:rsid w:val="62B138A5"/>
    <w:rsid w:val="62FF41BC"/>
    <w:rsid w:val="63E078CC"/>
    <w:rsid w:val="649E5A54"/>
    <w:rsid w:val="64B37927"/>
    <w:rsid w:val="64F5745B"/>
    <w:rsid w:val="65431E53"/>
    <w:rsid w:val="656071F2"/>
    <w:rsid w:val="65E66B55"/>
    <w:rsid w:val="668A5953"/>
    <w:rsid w:val="66F0620F"/>
    <w:rsid w:val="67163E36"/>
    <w:rsid w:val="67294323"/>
    <w:rsid w:val="677133AB"/>
    <w:rsid w:val="67A46ABB"/>
    <w:rsid w:val="67A760D9"/>
    <w:rsid w:val="68141A48"/>
    <w:rsid w:val="68301DD3"/>
    <w:rsid w:val="689678DC"/>
    <w:rsid w:val="68E935B2"/>
    <w:rsid w:val="68F071D2"/>
    <w:rsid w:val="69226B8E"/>
    <w:rsid w:val="697650C9"/>
    <w:rsid w:val="697E7CC7"/>
    <w:rsid w:val="6990449C"/>
    <w:rsid w:val="6A3D62B1"/>
    <w:rsid w:val="6B911985"/>
    <w:rsid w:val="6BF1756B"/>
    <w:rsid w:val="6C4770EF"/>
    <w:rsid w:val="6CC17A4F"/>
    <w:rsid w:val="6D920313"/>
    <w:rsid w:val="6DAF6739"/>
    <w:rsid w:val="6DCD2047"/>
    <w:rsid w:val="6DE0371D"/>
    <w:rsid w:val="6E620CF2"/>
    <w:rsid w:val="6E7F1BDD"/>
    <w:rsid w:val="6EC45659"/>
    <w:rsid w:val="6ECE0318"/>
    <w:rsid w:val="6F461069"/>
    <w:rsid w:val="6F56616E"/>
    <w:rsid w:val="6F5E1AA3"/>
    <w:rsid w:val="6F8D5764"/>
    <w:rsid w:val="6FC0465E"/>
    <w:rsid w:val="6FC63036"/>
    <w:rsid w:val="6FEC5765"/>
    <w:rsid w:val="702A415B"/>
    <w:rsid w:val="706D6A56"/>
    <w:rsid w:val="70AD31F0"/>
    <w:rsid w:val="70E9255F"/>
    <w:rsid w:val="719649E7"/>
    <w:rsid w:val="71E830CF"/>
    <w:rsid w:val="72310225"/>
    <w:rsid w:val="72C87F7F"/>
    <w:rsid w:val="741F01E3"/>
    <w:rsid w:val="75E10FF1"/>
    <w:rsid w:val="763F556D"/>
    <w:rsid w:val="76434FBA"/>
    <w:rsid w:val="76570E0B"/>
    <w:rsid w:val="767B5FB1"/>
    <w:rsid w:val="769A4E05"/>
    <w:rsid w:val="76D724E7"/>
    <w:rsid w:val="76D8191F"/>
    <w:rsid w:val="7772178F"/>
    <w:rsid w:val="78256FA1"/>
    <w:rsid w:val="78333936"/>
    <w:rsid w:val="78A7271A"/>
    <w:rsid w:val="78D32311"/>
    <w:rsid w:val="7912435D"/>
    <w:rsid w:val="7A362281"/>
    <w:rsid w:val="7B2A25EA"/>
    <w:rsid w:val="7B5A04B1"/>
    <w:rsid w:val="7BF40CDF"/>
    <w:rsid w:val="7C5764FD"/>
    <w:rsid w:val="7C723EE6"/>
    <w:rsid w:val="7C734CF6"/>
    <w:rsid w:val="7E4109C5"/>
    <w:rsid w:val="7E60BA3D"/>
    <w:rsid w:val="7EA70AA9"/>
    <w:rsid w:val="7F200B83"/>
    <w:rsid w:val="7F5D585A"/>
    <w:rsid w:val="7FCA0E68"/>
    <w:rsid w:val="7FD237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before="180" w:after="180"/>
    </w:p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spacing w:before="100" w:beforeAutospacing="1" w:after="100" w:afterAutospacing="1"/>
      <w:jc w:val="left"/>
    </w:pPr>
    <w:rPr>
      <w:rFonts w:cs="Times New Roman"/>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basedOn w:val="9"/>
    <w:qFormat/>
    <w:uiPriority w:val="0"/>
    <w:rPr>
      <w:b/>
      <w:bCs/>
    </w:rPr>
  </w:style>
  <w:style w:type="character" w:customStyle="1" w:styleId="11">
    <w:name w:val="页眉 字符"/>
    <w:basedOn w:val="9"/>
    <w:link w:val="5"/>
    <w:qFormat/>
    <w:uiPriority w:val="99"/>
    <w:rPr>
      <w:sz w:val="18"/>
      <w:szCs w:val="18"/>
    </w:rPr>
  </w:style>
  <w:style w:type="character" w:customStyle="1" w:styleId="12">
    <w:name w:val="页脚 字符"/>
    <w:basedOn w:val="9"/>
    <w:link w:val="4"/>
    <w:qFormat/>
    <w:uiPriority w:val="99"/>
    <w:rPr>
      <w:sz w:val="18"/>
      <w:szCs w:val="18"/>
    </w:rPr>
  </w:style>
  <w:style w:type="paragraph" w:styleId="13">
    <w:name w:val="List Paragraph"/>
    <w:basedOn w:val="1"/>
    <w:qFormat/>
    <w:uiPriority w:val="34"/>
    <w:pPr>
      <w:ind w:firstLine="420" w:firstLineChars="200"/>
    </w:pPr>
  </w:style>
  <w:style w:type="paragraph" w:customStyle="1" w:styleId="14">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character" w:customStyle="1" w:styleId="15">
    <w:name w:val="font01"/>
    <w:basedOn w:val="9"/>
    <w:qFormat/>
    <w:uiPriority w:val="0"/>
    <w:rPr>
      <w:rFonts w:hint="eastAsia" w:ascii="宋体" w:hAnsi="宋体" w:eastAsia="宋体" w:cs="宋体"/>
      <w:color w:val="000000"/>
      <w:sz w:val="24"/>
      <w:szCs w:val="24"/>
      <w:u w:val="none"/>
    </w:rPr>
  </w:style>
  <w:style w:type="character" w:customStyle="1" w:styleId="16">
    <w:name w:val="font21"/>
    <w:basedOn w:val="9"/>
    <w:qFormat/>
    <w:uiPriority w:val="0"/>
    <w:rPr>
      <w:rFonts w:hint="default" w:ascii="Calibri" w:hAnsi="Calibri" w:cs="Calibri"/>
      <w:color w:val="000000"/>
      <w:sz w:val="24"/>
      <w:szCs w:val="24"/>
      <w:u w:val="none"/>
    </w:rPr>
  </w:style>
  <w:style w:type="character" w:customStyle="1" w:styleId="17">
    <w:name w:val="font11"/>
    <w:basedOn w:val="9"/>
    <w:qFormat/>
    <w:uiPriority w:val="0"/>
    <w:rPr>
      <w:rFonts w:hint="default" w:ascii="Calibri" w:hAnsi="Calibri" w:cs="Calibri"/>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57</Words>
  <Characters>328</Characters>
  <Lines>2</Lines>
  <Paragraphs>1</Paragraphs>
  <TotalTime>2</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2024-10-11T19:37:54Z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