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hint="eastAsia" w:ascii="方正小标宋_GBK" w:hAnsi="华文中宋" w:eastAsia="方正小标宋_GBK" w:cs="宋体"/>
          <w:b/>
          <w:color w:val="auto"/>
          <w:kern w:val="0"/>
          <w:sz w:val="48"/>
          <w:szCs w:val="48"/>
          <w:highlight w:val="none"/>
          <w:lang w:val="en-US" w:eastAsia="zh-CN"/>
        </w:rPr>
      </w:pPr>
      <w:r>
        <w:rPr>
          <w:rFonts w:hint="eastAsia" w:ascii="方正小标宋_GBK" w:hAnsi="华文中宋" w:eastAsia="方正小标宋_GBK" w:cs="宋体"/>
          <w:b/>
          <w:color w:val="auto"/>
          <w:kern w:val="0"/>
          <w:sz w:val="48"/>
          <w:szCs w:val="48"/>
          <w:highlight w:val="none"/>
          <w:lang w:val="en-US" w:eastAsia="zh-CN"/>
        </w:rPr>
        <w:t>中国共产主义共青团民丰县委员会</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部门单位名称（公章）：中国共产主义共青团民丰县委员会</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3"/>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keepNext w:val="0"/>
        <w:keepLines w:val="0"/>
        <w:pageBreakBefore w:val="0"/>
        <w:widowControl w:val="0"/>
        <w:kinsoku/>
        <w:wordWrap/>
        <w:overflowPunct/>
        <w:topLinePunct w:val="0"/>
        <w:autoSpaceDE/>
        <w:autoSpaceDN/>
        <w:bidi w:val="0"/>
        <w:adjustRightInd/>
        <w:snapToGrid/>
        <w:spacing w:beforeAutospacing="0" w:line="560" w:lineRule="exact"/>
        <w:ind w:firstLine="640" w:firstLineChars="200"/>
        <w:textAlignment w:val="auto"/>
        <w:rPr>
          <w:rFonts w:hint="eastAsia" w:ascii="仿宋_GB2312" w:hAnsi="宋体" w:eastAsia="仿宋_GB2312"/>
          <w:b w:val="0"/>
          <w:bCs/>
          <w:color w:val="auto"/>
          <w:sz w:val="32"/>
          <w:szCs w:val="32"/>
          <w:highlight w:val="none"/>
        </w:rPr>
      </w:pPr>
      <w:r>
        <w:rPr>
          <w:rFonts w:hint="eastAsia" w:ascii="仿宋_GB2312" w:hAnsi="仿宋_GB2312" w:eastAsia="仿宋_GB2312" w:cs="仿宋_GB2312"/>
          <w:kern w:val="0"/>
          <w:sz w:val="32"/>
          <w:szCs w:val="32"/>
          <w:lang w:val="en-US" w:eastAsia="zh-CN"/>
        </w:rPr>
        <w:t>中国共产主义青年团民丰县委员会</w:t>
      </w:r>
      <w:r>
        <w:rPr>
          <w:rFonts w:hint="eastAsia" w:ascii="仿宋_GB2312" w:hAnsi="仿宋_GB2312" w:eastAsia="仿宋_GB2312" w:cs="仿宋_GB2312"/>
          <w:kern w:val="0"/>
          <w:sz w:val="32"/>
          <w:szCs w:val="32"/>
        </w:rPr>
        <w:t>主要职能为</w:t>
      </w:r>
      <w:r>
        <w:rPr>
          <w:rFonts w:hint="eastAsia" w:ascii="仿宋_GB2312" w:hAnsi="仿宋_GB2312" w:eastAsia="仿宋_GB2312" w:cs="仿宋_GB2312"/>
          <w:sz w:val="32"/>
          <w:szCs w:val="32"/>
          <w:lang w:eastAsia="zh-CN"/>
        </w:rPr>
        <w:t>坚持以习近平新时代中国特色社会主义思想为指导，深入学习贯彻党的二十大精神，学习贯彻习近平总书记关于青年工作的重要思想，全面从严治团，</w:t>
      </w:r>
      <w:r>
        <w:rPr>
          <w:rFonts w:hint="eastAsia" w:ascii="仿宋_GB2312" w:hAnsi="仿宋_GB2312" w:eastAsia="仿宋_GB2312" w:cs="仿宋_GB2312"/>
          <w:sz w:val="32"/>
          <w:szCs w:val="32"/>
        </w:rPr>
        <w:t>着力提升引领力、组织力、服务力，</w:t>
      </w:r>
      <w:r>
        <w:rPr>
          <w:rFonts w:hint="eastAsia" w:ascii="仿宋_GB2312" w:hAnsi="仿宋_GB2312" w:eastAsia="仿宋_GB2312" w:cs="仿宋_GB2312"/>
          <w:sz w:val="32"/>
          <w:szCs w:val="32"/>
          <w:lang w:eastAsia="zh-CN"/>
        </w:rPr>
        <w:t>进一步彰显共青团工作的大局贡献度</w:t>
      </w:r>
      <w:r>
        <w:rPr>
          <w:rFonts w:hint="eastAsia" w:ascii="仿宋_GB2312" w:hAnsi="宋体" w:eastAsia="仿宋_GB2312"/>
          <w:b w:val="0"/>
          <w:bCs/>
          <w:sz w:val="32"/>
          <w:szCs w:val="32"/>
        </w:rPr>
        <w:t>。</w:t>
      </w:r>
    </w:p>
    <w:p>
      <w:pPr>
        <w:pStyle w:val="13"/>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b w:val="0"/>
          <w:bCs/>
          <w:sz w:val="32"/>
          <w:szCs w:val="32"/>
        </w:rPr>
      </w:pPr>
      <w:r>
        <w:rPr>
          <w:rFonts w:hint="eastAsia" w:ascii="仿宋_GB2312" w:hAnsi="仿宋_GB2312" w:eastAsia="仿宋_GB2312" w:cs="仿宋_GB2312"/>
          <w:kern w:val="0"/>
          <w:sz w:val="32"/>
          <w:szCs w:val="32"/>
          <w:lang w:val="en-US" w:eastAsia="zh-CN"/>
        </w:rPr>
        <w:t>中国共产主义青年团民丰县委员会</w:t>
      </w:r>
      <w:r>
        <w:rPr>
          <w:rFonts w:hint="eastAsia" w:ascii="仿宋_GB2312" w:eastAsia="仿宋_GB2312"/>
          <w:sz w:val="32"/>
          <w:szCs w:val="32"/>
          <w:lang w:val="en-US" w:eastAsia="zh-CN"/>
        </w:rPr>
        <w:t>核定</w:t>
      </w:r>
      <w:r>
        <w:rPr>
          <w:rFonts w:hint="eastAsia" w:ascii="仿宋_GB2312" w:hAnsi="仿宋_GB2312" w:eastAsia="仿宋_GB2312" w:cs="仿宋_GB2312"/>
          <w:kern w:val="0"/>
          <w:sz w:val="32"/>
          <w:szCs w:val="32"/>
          <w:lang w:val="en-US" w:eastAsia="zh-CN" w:bidi="ar-SA"/>
        </w:rPr>
        <w:t>编制数4人，其中行政编制3人，</w:t>
      </w:r>
      <w:r>
        <w:rPr>
          <w:rFonts w:hint="eastAsia" w:ascii="仿宋_GB2312" w:eastAsia="仿宋_GB2312"/>
          <w:sz w:val="32"/>
          <w:szCs w:val="32"/>
          <w:lang w:val="en-US" w:eastAsia="zh-CN"/>
        </w:rPr>
        <w:t>下辖民丰县少年先锋队工作委员会办公室</w:t>
      </w:r>
      <w:r>
        <w:rPr>
          <w:rFonts w:hint="eastAsia" w:ascii="仿宋_GB2312" w:hAnsi="仿宋_GB2312" w:eastAsia="仿宋_GB2312" w:cs="仿宋_GB2312"/>
          <w:kern w:val="0"/>
          <w:sz w:val="32"/>
          <w:szCs w:val="32"/>
          <w:lang w:val="en-US" w:eastAsia="zh-CN" w:bidi="ar-SA"/>
        </w:rPr>
        <w:t>事业编制人数1人。目前，行政编制3人，</w:t>
      </w:r>
      <w:r>
        <w:rPr>
          <w:rFonts w:hint="eastAsia" w:ascii="仿宋_GB2312" w:eastAsia="仿宋_GB2312"/>
          <w:sz w:val="32"/>
          <w:szCs w:val="32"/>
          <w:lang w:val="en-US" w:eastAsia="zh-CN"/>
        </w:rPr>
        <w:t>参公编1人（为民丰县少年先锋队工作委员会办公室编制）</w:t>
      </w:r>
      <w:r>
        <w:rPr>
          <w:rFonts w:hint="eastAsia" w:ascii="仿宋_GB2312" w:hAnsi="宋体" w:eastAsia="仿宋_GB2312"/>
          <w:b w:val="0"/>
          <w:bCs/>
          <w:sz w:val="32"/>
          <w:szCs w:val="32"/>
        </w:rPr>
        <w:t>。</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spacing w:line="600" w:lineRule="exact"/>
        <w:ind w:firstLine="936" w:firstLineChars="300"/>
        <w:jc w:val="left"/>
        <w:rPr>
          <w:rStyle w:val="10"/>
          <w:rFonts w:hint="eastAsia" w:ascii="仿宋_GB2312" w:hAnsi="楷体" w:eastAsia="仿宋_GB2312"/>
          <w:b w:val="0"/>
          <w:color w:val="auto"/>
          <w:spacing w:val="-4"/>
          <w:sz w:val="32"/>
          <w:szCs w:val="32"/>
          <w:highlight w:val="none"/>
          <w:lang w:val="en-US" w:eastAsia="zh-CN"/>
        </w:rPr>
      </w:pPr>
      <w:r>
        <w:rPr>
          <w:rStyle w:val="10"/>
          <w:rFonts w:hint="eastAsia" w:ascii="仿宋_GB2312" w:hAnsi="楷体" w:eastAsia="仿宋_GB2312"/>
          <w:b w:val="0"/>
          <w:color w:val="auto"/>
          <w:spacing w:val="-4"/>
          <w:sz w:val="32"/>
          <w:szCs w:val="32"/>
          <w:highlight w:val="none"/>
          <w:lang w:val="en-US" w:eastAsia="zh-CN"/>
        </w:rPr>
        <w:t>（1）保障县委、县政府接待工作计划的落实；负责县重大会议中会务人员的报到住宿安排工作；负责县大型庆典活动及接待工作中的车辆调度使用工作；指导县直党政群机关后勤工作和接待服务工作；推进机关事务管理科学化、服务规范化，推进机关事务服务规范化，提高机关事务服务质量及服务水平；</w:t>
      </w:r>
    </w:p>
    <w:p>
      <w:pPr>
        <w:spacing w:line="600" w:lineRule="exact"/>
        <w:ind w:firstLine="936" w:firstLineChars="300"/>
        <w:jc w:val="left"/>
        <w:rPr>
          <w:rStyle w:val="10"/>
          <w:rFonts w:hint="eastAsia" w:ascii="仿宋_GB2312" w:hAnsi="楷体" w:eastAsia="仿宋_GB2312"/>
          <w:b w:val="0"/>
          <w:color w:val="auto"/>
          <w:spacing w:val="-4"/>
          <w:sz w:val="32"/>
          <w:szCs w:val="32"/>
          <w:highlight w:val="none"/>
          <w:lang w:val="en-US" w:eastAsia="zh-CN"/>
        </w:rPr>
      </w:pPr>
      <w:r>
        <w:rPr>
          <w:rStyle w:val="10"/>
          <w:rFonts w:hint="eastAsia" w:ascii="仿宋_GB2312" w:hAnsi="楷体" w:eastAsia="仿宋_GB2312"/>
          <w:b w:val="0"/>
          <w:color w:val="auto"/>
          <w:spacing w:val="-4"/>
          <w:sz w:val="32"/>
          <w:szCs w:val="32"/>
          <w:highlight w:val="none"/>
          <w:lang w:val="en-US" w:eastAsia="zh-CN"/>
        </w:rPr>
        <w:t>（2）有效保障公务用车运行、对党政综合办公楼及经济口大楼暖气正常使用开展维护保养；提升集中办公区后勤服务质量；</w:t>
      </w:r>
    </w:p>
    <w:p>
      <w:pPr>
        <w:spacing w:line="600" w:lineRule="exact"/>
        <w:ind w:firstLine="936" w:firstLineChars="300"/>
        <w:jc w:val="left"/>
        <w:rPr>
          <w:rStyle w:val="10"/>
          <w:rFonts w:hint="eastAsia" w:ascii="仿宋_GB2312" w:hAnsi="楷体" w:eastAsia="仿宋_GB2312"/>
          <w:b w:val="0"/>
          <w:color w:val="auto"/>
          <w:spacing w:val="-4"/>
          <w:sz w:val="32"/>
          <w:szCs w:val="32"/>
          <w:highlight w:val="none"/>
          <w:lang w:val="en-US" w:eastAsia="zh-CN"/>
        </w:rPr>
      </w:pPr>
      <w:r>
        <w:rPr>
          <w:rStyle w:val="10"/>
          <w:rFonts w:hint="eastAsia" w:ascii="仿宋_GB2312" w:hAnsi="楷体" w:eastAsia="仿宋_GB2312"/>
          <w:b w:val="0"/>
          <w:color w:val="auto"/>
          <w:spacing w:val="-4"/>
          <w:sz w:val="32"/>
          <w:szCs w:val="32"/>
          <w:highlight w:val="none"/>
          <w:lang w:val="en-US" w:eastAsia="zh-CN"/>
        </w:rPr>
        <w:t>（3）严格做好退休干部工作，切实加强服务管理，及时落实政策规定，按时发放退休干部国家及地方各项补贴，不断提升和增强退休干部生活上的幸福感，让退休干部安心、舒心、暖心。</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10"/>
          <w:rFonts w:hint="eastAsia" w:ascii="仿宋_GB2312" w:hAnsi="楷体" w:eastAsia="仿宋_GB2312"/>
          <w:b w:val="0"/>
          <w:color w:val="auto"/>
          <w:spacing w:val="-4"/>
          <w:sz w:val="32"/>
          <w:szCs w:val="32"/>
          <w:highlight w:val="none"/>
          <w:lang w:eastAsia="zh-CN"/>
        </w:rPr>
      </w:pPr>
      <w:r>
        <w:rPr>
          <w:rStyle w:val="10"/>
          <w:rFonts w:hint="eastAsia" w:ascii="仿宋_GB2312" w:hAnsi="楷体" w:eastAsia="仿宋_GB2312"/>
          <w:b w:val="0"/>
          <w:color w:val="auto"/>
          <w:spacing w:val="-4"/>
          <w:sz w:val="32"/>
          <w:szCs w:val="32"/>
          <w:highlight w:val="none"/>
          <w:lang w:val="en-US" w:eastAsia="zh-CN"/>
        </w:rPr>
        <w:t>包括年初预算安排、年中调整（追加减）情况，</w:t>
      </w:r>
      <w:r>
        <w:rPr>
          <w:rStyle w:val="10"/>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52.4万元，预算数（调整后）265.46万元，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173.69万元，执行率65.43%。</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中国共产主义共青团民丰县委员会</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265.46</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69.34</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196.12</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173.69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65.43</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中国共产主义共青团民丰县委员会</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int="eastAsia" w:hAnsi="方正楷体简体" w:eastAsia="仿宋_GB2312"/>
          <w:b/>
          <w:color w:val="auto"/>
          <w:highlight w:val="none"/>
          <w:lang w:eastAsia="zh-CN"/>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中国共产主义共青团民丰县委员会</w:t>
      </w:r>
      <w:r>
        <w:rPr>
          <w:rFonts w:hint="eastAsia" w:hAnsi="方正楷体简体"/>
          <w:color w:val="auto"/>
          <w:highlight w:val="none"/>
        </w:rPr>
        <w:t>项目支出共涉及</w:t>
      </w:r>
      <w:r>
        <w:rPr>
          <w:rFonts w:hint="eastAsia" w:hAnsi="方正楷体简体"/>
          <w:color w:val="auto"/>
          <w:highlight w:val="none"/>
          <w:lang w:val="en-US" w:eastAsia="zh-CN"/>
        </w:rPr>
        <w:t>0</w:t>
      </w:r>
      <w:r>
        <w:rPr>
          <w:rFonts w:hint="eastAsia" w:hAnsi="方正楷体简体"/>
          <w:color w:val="auto"/>
          <w:highlight w:val="none"/>
        </w:rPr>
        <w:t>个项目</w:t>
      </w:r>
      <w:r>
        <w:rPr>
          <w:rFonts w:hint="eastAsia" w:hAnsi="方正楷体简体"/>
          <w:color w:val="auto"/>
          <w:highlight w:val="none"/>
          <w:lang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highlight w:val="none"/>
        </w:rPr>
      </w:pPr>
      <w:r>
        <w:rPr>
          <w:rStyle w:val="10"/>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val="0"/>
          <w:bCs w:val="0"/>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中国共产主义共青团民丰县委员会</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265.46</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69.34</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196.12</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173.69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65.43</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10"/>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10"/>
          <w:rFonts w:hint="eastAsia" w:ascii="楷体" w:hAnsi="楷体" w:eastAsia="楷体" w:cs="楷体"/>
          <w:b/>
          <w:bCs w:val="0"/>
          <w:color w:val="auto"/>
          <w:spacing w:val="-4"/>
          <w:sz w:val="32"/>
          <w:szCs w:val="32"/>
          <w:highlight w:val="none"/>
          <w:lang w:val="en-US" w:eastAsia="zh-CN"/>
        </w:rPr>
        <w:t>（一）指标一：补助各地方志愿者人数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补助各地方志愿者人数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大于等于18名</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10"/>
          <w:rFonts w:hint="eastAsia" w:ascii="仿宋_GB2312" w:hAnsi="楷体" w:eastAsia="仿宋_GB2312" w:cs="Times New Roman"/>
          <w:b w:val="0"/>
          <w:color w:val="auto"/>
          <w:spacing w:val="-4"/>
          <w:sz w:val="32"/>
          <w:szCs w:val="32"/>
          <w:highlight w:val="none"/>
          <w:lang w:val="en-US" w:eastAsia="zh-CN"/>
        </w:rPr>
        <w:t>6名</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本次评价实际完成值是18名，</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（二）指标二：管理团组织数量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管理团组织数量，预期指标是</w:t>
      </w:r>
      <w:r>
        <w:rPr>
          <w:rFonts w:hint="eastAsia" w:ascii="仿宋_GB2312" w:hAnsi="仿宋" w:eastAsia="仿宋_GB2312"/>
          <w:color w:val="auto"/>
          <w:sz w:val="32"/>
          <w:szCs w:val="32"/>
          <w:highlight w:val="none"/>
          <w:lang w:val="en-US" w:eastAsia="zh-CN"/>
        </w:rPr>
        <w:t>大于等于122个</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122个</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本次评价实际完成值是122个，</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（三）指标三：发展新团员人数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发展新团员人数，预期指标是</w:t>
      </w:r>
      <w:r>
        <w:rPr>
          <w:rFonts w:hint="eastAsia" w:ascii="仿宋_GB2312" w:hAnsi="仿宋" w:eastAsia="仿宋_GB2312"/>
          <w:color w:val="auto"/>
          <w:sz w:val="32"/>
          <w:szCs w:val="32"/>
          <w:highlight w:val="none"/>
          <w:lang w:val="en-US" w:eastAsia="zh-CN"/>
        </w:rPr>
        <w:t>大于等于115人</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10"/>
          <w:rFonts w:hint="eastAsia" w:ascii="仿宋_GB2312" w:hAnsi="楷体" w:eastAsia="仿宋_GB2312" w:cs="Times New Roman"/>
          <w:b w:val="0"/>
          <w:color w:val="auto"/>
          <w:spacing w:val="-4"/>
          <w:sz w:val="32"/>
          <w:szCs w:val="32"/>
          <w:highlight w:val="none"/>
          <w:lang w:val="en-US" w:eastAsia="zh-CN"/>
        </w:rPr>
        <w:t>115人</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本次评价实际完成值是115人，</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（四）指标四：开展培训次数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发展新团员人数，预期指标是</w:t>
      </w:r>
      <w:r>
        <w:rPr>
          <w:rFonts w:hint="eastAsia" w:ascii="仿宋_GB2312" w:hAnsi="仿宋" w:eastAsia="仿宋_GB2312"/>
          <w:color w:val="auto"/>
          <w:sz w:val="32"/>
          <w:szCs w:val="32"/>
          <w:highlight w:val="none"/>
          <w:lang w:val="en-US" w:eastAsia="zh-CN"/>
        </w:rPr>
        <w:t>大于等于3次</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10"/>
          <w:rFonts w:hint="eastAsia" w:ascii="仿宋_GB2312" w:hAnsi="楷体" w:eastAsia="仿宋_GB2312" w:cs="Times New Roman"/>
          <w:b w:val="0"/>
          <w:color w:val="auto"/>
          <w:spacing w:val="-4"/>
          <w:sz w:val="32"/>
          <w:szCs w:val="32"/>
          <w:highlight w:val="none"/>
          <w:lang w:val="en-US" w:eastAsia="zh-CN"/>
        </w:rPr>
        <w:t>2次</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本次评价实际完成值是3次，</w:t>
      </w:r>
      <w:r>
        <w:rPr>
          <w:rFonts w:hint="eastAsia" w:ascii="仿宋_GB2312" w:hAnsi="仿宋" w:eastAsia="仿宋_GB2312"/>
          <w:color w:val="auto"/>
          <w:sz w:val="32"/>
          <w:szCs w:val="32"/>
          <w:highlight w:val="none"/>
        </w:rPr>
        <w:t>达到预期目标。</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10"/>
          <w:rFonts w:hint="eastAsia" w:ascii="仿宋_GB2312" w:hAnsi="楷体" w:eastAsia="仿宋_GB2312" w:cs="Times New Roman"/>
          <w:b w:val="0"/>
          <w:color w:val="auto"/>
          <w:spacing w:val="-4"/>
          <w:sz w:val="32"/>
          <w:szCs w:val="32"/>
          <w:highlight w:val="none"/>
          <w:lang w:val="en-US" w:eastAsia="zh-CN"/>
        </w:rPr>
        <w:t>2023年度部门整体支出绩效自评综合得分96.54分，评价结果为“优”。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少于</w:t>
      </w:r>
      <w:r>
        <w:rPr>
          <w:rFonts w:ascii="仿宋_GB2312" w:hAnsi="仿宋" w:eastAsia="仿宋_GB2312" w:cs="仿宋"/>
          <w:color w:val="auto"/>
          <w:spacing w:val="-4"/>
          <w:sz w:val="32"/>
          <w:szCs w:val="32"/>
          <w:highlight w:val="none"/>
        </w:rPr>
        <w:t>预算申报数。</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3"/>
        <w:numPr>
          <w:ilvl w:val="0"/>
          <w:numId w:val="0"/>
        </w:numPr>
        <w:snapToGrid w:val="0"/>
        <w:spacing w:line="540" w:lineRule="exact"/>
        <w:ind w:left="640" w:leftChars="0"/>
        <w:rPr>
          <w:rStyle w:val="10"/>
          <w:rFonts w:hint="default" w:ascii="黑体" w:hAnsi="黑体" w:eastAsia="黑体"/>
          <w:b w:val="0"/>
          <w:bCs w:val="0"/>
          <w:color w:val="auto"/>
          <w:spacing w:val="-4"/>
          <w:sz w:val="32"/>
          <w:szCs w:val="32"/>
          <w:highlight w:val="none"/>
        </w:rPr>
      </w:pPr>
    </w:p>
    <w:p>
      <w:pPr>
        <w:pStyle w:val="13"/>
        <w:numPr>
          <w:ilvl w:val="0"/>
          <w:numId w:val="0"/>
        </w:numPr>
        <w:snapToGrid w:val="0"/>
        <w:spacing w:line="540" w:lineRule="exact"/>
        <w:ind w:left="640" w:leftChars="0"/>
        <w:rPr>
          <w:rStyle w:val="10"/>
          <w:rFonts w:ascii="黑体" w:hAnsi="黑体" w:eastAsia="黑体"/>
          <w:b w:val="0"/>
          <w:bCs w:val="0"/>
          <w:color w:val="auto"/>
          <w:spacing w:val="-4"/>
          <w:sz w:val="32"/>
          <w:szCs w:val="32"/>
          <w:highlight w:val="none"/>
        </w:rPr>
      </w:pPr>
      <w:r>
        <w:rPr>
          <w:rStyle w:val="10"/>
          <w:rFonts w:hint="default" w:ascii="黑体" w:hAnsi="黑体" w:eastAsia="黑体"/>
          <w:b w:val="0"/>
          <w:bCs w:val="0"/>
          <w:color w:val="auto"/>
          <w:spacing w:val="-4"/>
          <w:sz w:val="32"/>
          <w:szCs w:val="32"/>
          <w:highlight w:val="none"/>
        </w:rPr>
        <w:t>六、</w:t>
      </w:r>
      <w:r>
        <w:rPr>
          <w:rStyle w:val="10"/>
          <w:rFonts w:hint="eastAsia" w:ascii="黑体" w:hAnsi="黑体" w:eastAsia="黑体"/>
          <w:b w:val="0"/>
          <w:bCs w:val="0"/>
          <w:color w:val="auto"/>
          <w:spacing w:val="-4"/>
          <w:sz w:val="32"/>
          <w:szCs w:val="32"/>
          <w:highlight w:val="none"/>
        </w:rPr>
        <w:t>改进措施和建议</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01"/>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1320B24"/>
    <w:rsid w:val="020B07BA"/>
    <w:rsid w:val="02656D15"/>
    <w:rsid w:val="04E502D7"/>
    <w:rsid w:val="05931451"/>
    <w:rsid w:val="06696209"/>
    <w:rsid w:val="07125429"/>
    <w:rsid w:val="07336E2D"/>
    <w:rsid w:val="08CC471F"/>
    <w:rsid w:val="0A6F602E"/>
    <w:rsid w:val="0B6F48AA"/>
    <w:rsid w:val="0D1922F1"/>
    <w:rsid w:val="0E737D65"/>
    <w:rsid w:val="0F8163B5"/>
    <w:rsid w:val="10DF6E84"/>
    <w:rsid w:val="11281D00"/>
    <w:rsid w:val="11891A30"/>
    <w:rsid w:val="11ED662B"/>
    <w:rsid w:val="12D07449"/>
    <w:rsid w:val="13447757"/>
    <w:rsid w:val="1438599A"/>
    <w:rsid w:val="14F27B7B"/>
    <w:rsid w:val="189E58C4"/>
    <w:rsid w:val="197406AD"/>
    <w:rsid w:val="19F6744F"/>
    <w:rsid w:val="1A505C44"/>
    <w:rsid w:val="1D073223"/>
    <w:rsid w:val="1D95187B"/>
    <w:rsid w:val="1FBB36D6"/>
    <w:rsid w:val="200F4073"/>
    <w:rsid w:val="229016F2"/>
    <w:rsid w:val="22BC25A4"/>
    <w:rsid w:val="24B86128"/>
    <w:rsid w:val="258478C4"/>
    <w:rsid w:val="26EB1E76"/>
    <w:rsid w:val="28F109D1"/>
    <w:rsid w:val="291F3644"/>
    <w:rsid w:val="29745342"/>
    <w:rsid w:val="2B3A59C7"/>
    <w:rsid w:val="2B4341EB"/>
    <w:rsid w:val="2BDD5BFB"/>
    <w:rsid w:val="2DE92A48"/>
    <w:rsid w:val="2E0F0698"/>
    <w:rsid w:val="2E913C19"/>
    <w:rsid w:val="2EB45EA3"/>
    <w:rsid w:val="2EF80FF5"/>
    <w:rsid w:val="2F6A3469"/>
    <w:rsid w:val="300B6928"/>
    <w:rsid w:val="307179D7"/>
    <w:rsid w:val="31153648"/>
    <w:rsid w:val="311D1738"/>
    <w:rsid w:val="32BB5C56"/>
    <w:rsid w:val="33D53037"/>
    <w:rsid w:val="342F6534"/>
    <w:rsid w:val="350E12DF"/>
    <w:rsid w:val="35274E80"/>
    <w:rsid w:val="35AB75CE"/>
    <w:rsid w:val="36F7526D"/>
    <w:rsid w:val="37213B34"/>
    <w:rsid w:val="37403639"/>
    <w:rsid w:val="39275AC9"/>
    <w:rsid w:val="3BBF2075"/>
    <w:rsid w:val="3FD249C9"/>
    <w:rsid w:val="3FD35BB0"/>
    <w:rsid w:val="3FFF01C9"/>
    <w:rsid w:val="408F1DD4"/>
    <w:rsid w:val="40AD0A28"/>
    <w:rsid w:val="426E7FA5"/>
    <w:rsid w:val="43002819"/>
    <w:rsid w:val="433C35D6"/>
    <w:rsid w:val="44081B00"/>
    <w:rsid w:val="44202481"/>
    <w:rsid w:val="44D3411A"/>
    <w:rsid w:val="454A14E0"/>
    <w:rsid w:val="455525A3"/>
    <w:rsid w:val="45EC5603"/>
    <w:rsid w:val="46020D16"/>
    <w:rsid w:val="46576E87"/>
    <w:rsid w:val="470906C9"/>
    <w:rsid w:val="48E7754A"/>
    <w:rsid w:val="49A90380"/>
    <w:rsid w:val="4A7D772C"/>
    <w:rsid w:val="4A9B1AF8"/>
    <w:rsid w:val="4CE26E4A"/>
    <w:rsid w:val="4D5352D2"/>
    <w:rsid w:val="4DEC2FD3"/>
    <w:rsid w:val="4DF316CD"/>
    <w:rsid w:val="50966E31"/>
    <w:rsid w:val="5130529E"/>
    <w:rsid w:val="51C70EA9"/>
    <w:rsid w:val="52DD0612"/>
    <w:rsid w:val="53B535AD"/>
    <w:rsid w:val="54942087"/>
    <w:rsid w:val="54F842B6"/>
    <w:rsid w:val="55525A1B"/>
    <w:rsid w:val="56447B36"/>
    <w:rsid w:val="58CB188F"/>
    <w:rsid w:val="58FB7FD2"/>
    <w:rsid w:val="5B9757C7"/>
    <w:rsid w:val="5EA25F5D"/>
    <w:rsid w:val="5EB12FFC"/>
    <w:rsid w:val="5FCF4505"/>
    <w:rsid w:val="60116AF9"/>
    <w:rsid w:val="60810646"/>
    <w:rsid w:val="60A001E1"/>
    <w:rsid w:val="61533F93"/>
    <w:rsid w:val="648D4A3C"/>
    <w:rsid w:val="64C11956"/>
    <w:rsid w:val="64F5745B"/>
    <w:rsid w:val="656071F2"/>
    <w:rsid w:val="66FA59A5"/>
    <w:rsid w:val="67163E36"/>
    <w:rsid w:val="67A760D9"/>
    <w:rsid w:val="6BF1756B"/>
    <w:rsid w:val="6F5E1AA3"/>
    <w:rsid w:val="6F7C1625"/>
    <w:rsid w:val="724B7BFB"/>
    <w:rsid w:val="724F5A30"/>
    <w:rsid w:val="739F3578"/>
    <w:rsid w:val="7490353B"/>
    <w:rsid w:val="75E10FF1"/>
    <w:rsid w:val="75F011AB"/>
    <w:rsid w:val="769A4E05"/>
    <w:rsid w:val="77685071"/>
    <w:rsid w:val="7B5A04B1"/>
    <w:rsid w:val="7C5764FD"/>
    <w:rsid w:val="7F200B83"/>
    <w:rsid w:val="7F5D585A"/>
    <w:rsid w:val="8ED25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iPriority w:val="0"/>
    <w:pPr>
      <w:widowControl/>
      <w:spacing w:before="100" w:beforeAutospacing="1" w:after="100" w:afterAutospacing="1"/>
      <w:jc w:val="left"/>
    </w:pPr>
    <w:rPr>
      <w:rFonts w:ascii="宋体" w:hAnsi="宋体" w:cs="宋体"/>
      <w:kern w:val="0"/>
      <w:sz w:val="24"/>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rFonts w:cs="Times New Roman"/>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bCs/>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styleId="13">
    <w:name w:val="List Paragraph"/>
    <w:basedOn w:val="1"/>
    <w:qFormat/>
    <w:uiPriority w:val="34"/>
    <w:pPr>
      <w:ind w:firstLine="420" w:firstLineChars="200"/>
    </w:p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5">
    <w:name w:val="Body Text First Indent 2"/>
    <w:basedOn w:val="16"/>
    <w:qFormat/>
    <w:uiPriority w:val="0"/>
    <w:pPr>
      <w:ind w:firstLine="420" w:firstLineChars="200"/>
    </w:pPr>
  </w:style>
  <w:style w:type="paragraph" w:customStyle="1" w:styleId="16">
    <w:name w:val="Body Text Indent"/>
    <w:basedOn w:val="1"/>
    <w:qFormat/>
    <w:uiPriority w:val="0"/>
    <w:pPr>
      <w:spacing w:after="120" w:afterLines="0"/>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57</Words>
  <Characters>328</Characters>
  <Lines>2</Lines>
  <Paragraphs>1</Paragraphs>
  <TotalTime>1</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2024-10-11T19:42:34Z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