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民丰县自然资源局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部门单位名称（公章）：民丰县自然资源局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（1）履行全民所有土地、矿产、森林、草原、湿地、水等自然资源资产所有者职责和所有国土空间用途管制职责。贯彻执行自然资源和国土空间规划及测绘等法律法规。</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负责自然资源调查监测评价。贯彻执行国家自然资源调查监测评价的指标体系和统计标准，建立统一规范的自然资源调查监测评价制度。实施自然资源基础调查、专项调查和监测。负责自然资源调查监测评价成果的监督管理和信息发布。开展自然资源调查监测评价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负责自然资源统一确权登记工作。贯彻执行国家各类自然资源和不动产统一确权登记、权籍调查、不动产测绘、争议调处、成果应用的制度、标准、规范。建立健全自然资源和不动产登记信息管理基础平台。负责县自然资源和不动产登记资料收集、整理、共享、汇交管理等。会同有关部门提出处理土地、草场等纠纷的配套政策。组织有关部门调查、裁定县域内土地、草场、矿山、林地、水域等权属纠纷。开展自然资源和不动产确权登记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负责自然资源资产有偿使用工作。贯彻执行国家全民所有自然资源资产统计制度，负责县全民所有自然资源资产核算。编制县全民所有自然资源资产负债表，拟订考核标准。贯彻执行国家全民所有自然资源资产划拨、出让、租赁、作价出资和土地储备政策并拟定有关政策，合理配置县全民所有自然资源资产。负责县自然资源资产价值评估管理，依法收缴相关资产收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负责自然资源的合理开发利用.组织拟订县自然资源发展规划和战略，拟订自然资源开发利用标准并组织实施，建立政府公示自然资源价格体系，组织开展自然资源分等定级价格评估，开展自然资源利用评价考核，指导节约集约利用。负责县自然资源市场监管。组织研究自然资源管理涉及宏观调控、区域协调和城乡统筹的政策措施。</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负责建立空间规划体系并监督实施。推进县主体功能区战略和制度，组织编制并监督实施国土空间规划和相关专项规划。开展国土空间开发适宜性评价，建立国土空间规划实施监测、评估和预警体系。组织划定生态保护红线、永久基本农田、城镇开发边界等控制线，构建节约资源和保护环境的生产、生活、生态空间布局。建立健全国土空间用途管制制度，研究拟订城乡规划政策并监督实施。组织拟订并实施土地等自然资源年度利用计划。负责土地等国土空间用途转用工作。负责土地征收征用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负责统筹国土空间生态修复。牵头组织编制县国土空间生态修复规划并实施有关生态修复重大工程。负责国土空间综合整治、土地整理复垦、矿山地质环境恢复治理等工作。牵头拟订和实施生态保护补偿制度，拟订合理利用社会资金进行生态修复的政策措施，提出重大备选项目。</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8）负责组织实施最严格的耕地保护制度。贯彻执行国家耕地保护政策并牵头拟订和实施县有关规定，负责耕地数量、质量、生态保护。组织实施耕地保护责任目标考核和永久基本农田特殊保护。完善耕地占补平衡制度，监督占用耕地补偿制度执行情况。</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（9）负责管理地质勘查行业和全县地质工作。编制地质勘查规划并监督检查执行情况。负责地质灾害预防和治理，监督管理地下水过量开采及引发的地面沉降等地质问题。</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10）负责落实综合防灾减灾规划相关要求，组织编制地质灾害防治规划和防护标准并指导实施。组织指导协调和监督地区地质灾害调查评价及隐患的普查、详查、排查。指导开展群测群防、专业监测和预报预警等工作，指导开展地质灾害工程治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（11）负责矿产资源管理工作。负责县矿产资源储量管理及压覆矿产资源审核。负责矿业权管理。会同有关部门承担保护性开采的特定矿种、优势矿产的调控及相关管理工作。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（12）负责测绘地理信息管理工作。负责县基础测绘和测绘行业管理。负责测绘资质资格与信用管理，监督管理地理信息安全和市场秩序。负责地理信息公共服务管理。负责测量标志保护。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13）推动自然资源领域科技发展。制定并实施县自然资源领域科技创新发展和人才培养战略、规划和计划。组织实施重大科技工程及创新能力建设，推进自然资源信息化和信息资料的公共服务。组织参与自然资源领域对外交流合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14）根据授权，对落实党中央、国务院关于自然资源和国土空间规划的重大方针政策、决策部署和和田地委、行署，县委、县人民政府工作要求及法律法规执行情况进行督察。查处自然资源开发利用和国土空间规划及测绘重大违法案件。指导乡镇开展有关行政执法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（15）统一领导和管理县林业和草原局。</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（16）完成地委、行署，县委、县人民政府交办的其他任务</w:t>
      </w:r>
      <w:r>
        <w:rPr>
          <w:rFonts w:hint="eastAsia" w:ascii="仿宋_GB2312" w:hAnsi="宋体" w:eastAsia="仿宋_GB2312"/>
          <w:b w:val="0"/>
          <w:bCs/>
          <w:color w:val="auto"/>
          <w:sz w:val="32"/>
          <w:szCs w:val="32"/>
          <w:highlight w:val="none"/>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highlight w:val="none"/>
          <w:lang w:eastAsia="zh-CN"/>
        </w:rPr>
      </w:pPr>
      <w:r>
        <w:rPr>
          <w:rFonts w:hint="eastAsia" w:ascii="仿宋_GB2312" w:hAnsi="宋体" w:eastAsia="仿宋_GB2312"/>
          <w:b w:val="0"/>
          <w:bCs/>
          <w:sz w:val="32"/>
          <w:szCs w:val="32"/>
        </w:rPr>
        <w:t>民丰县自然资源局无下属预算单位，下设7个科室，分别是：不动产登记中心、土地储备中心、综合办公室、矿产办、规划办、信访室，城镇国土所</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民丰县自然资源局单位编制数14人，实有人数14人，其中：在职 14人，退休5人，离休0人；行政编制6人，参照公务员法管理事业人员2人，非参公事业人员6人。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540" w:lineRule="exact"/>
        <w:ind w:firstLine="564" w:firstLineChars="181"/>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做好用地要素保障，积极与重点项目办和各项目用地单位对接，按优先使用存量建设用地原则，进行用地选址，对确需使用新增建设用地项目，做好与发改、棚改办、林草等部门的对接，协助用地单位做好前期资料准备，按建设时序和项目用地单位前期资料准备情况，依据国土空间规划，科学编制报批计划。</w:t>
      </w:r>
    </w:p>
    <w:p>
      <w:pPr>
        <w:spacing w:line="540" w:lineRule="exact"/>
        <w:ind w:firstLine="564" w:firstLineChars="181"/>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开展矿业权安全生产和日常监督管理检查，完善矿山企业用地手续，召开2023年矿业大会，起草2023年全县地质灾害防治方案，做好两卡一案的发放工作，设立地质灾害警示牌，落实地质灾害日常巡查和地质灾害应急演练等地质灾害防治工作。</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9.41万元，执行率78.42%。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906.5万元，预算数（调整后）1130.89万元，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949.5万元，执行率83.96%。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0万元，预算数（调整后）2.33万元，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自然资源局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336.64</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327.76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8.88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326.57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97.01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自然资源局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794.24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622.92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78.42</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629.23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458.06</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165.01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164.86</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9.41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78.42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自然资源局</w:t>
      </w:r>
      <w:r>
        <w:rPr>
          <w:rFonts w:hint="eastAsia" w:hAnsi="方正楷体简体"/>
          <w:color w:val="auto"/>
          <w:highlight w:val="none"/>
        </w:rPr>
        <w:t>项目支出共涉及</w:t>
      </w:r>
      <w:r>
        <w:rPr>
          <w:rFonts w:hint="eastAsia" w:hAnsi="方正楷体简体"/>
          <w:color w:val="auto"/>
          <w:highlight w:val="none"/>
          <w:lang w:val="en-US" w:eastAsia="zh-CN"/>
        </w:rPr>
        <w:t>21</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2023年“访惠聚”为民办实事工作经费</w:t>
            </w:r>
          </w:p>
        </w:tc>
        <w:tc>
          <w:tcPr>
            <w:tcW w:w="2525" w:type="dxa"/>
            <w:vAlign w:val="center"/>
          </w:tcPr>
          <w:p>
            <w:pPr>
              <w:keepNext w:val="0"/>
              <w:keepLines w:val="0"/>
              <w:widowControl/>
              <w:suppressLineNumbers w:val="0"/>
              <w:jc w:val="right"/>
              <w:textAlignment w:val="center"/>
              <w:rPr>
                <w:rFonts w:hint="default" w:ascii="仿宋_GB2312" w:hAnsi="仿宋" w:eastAsia="仿宋_GB2312" w:cs="宋体"/>
                <w:color w:val="auto"/>
                <w:sz w:val="32"/>
                <w:szCs w:val="32"/>
                <w:highlight w:val="none"/>
                <w:lang w:val="en-US"/>
              </w:rPr>
            </w:pPr>
            <w:r>
              <w:rPr>
                <w:rFonts w:hint="eastAsia" w:ascii="宋体" w:hAnsi="宋体" w:cs="宋体"/>
                <w:i w:val="0"/>
                <w:color w:val="auto"/>
                <w:kern w:val="0"/>
                <w:sz w:val="22"/>
                <w:szCs w:val="22"/>
                <w:highlight w:val="none"/>
                <w:u w:val="none"/>
                <w:lang w:val="en-US" w:eastAsia="zh-CN" w:bidi="ar"/>
              </w:rPr>
              <w:t>12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民丰县农村乱占耕地建房问题整治项目</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13.5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土地出让合同印花税费用</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1.01</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医疗园区建设项目占用农用土地补偿费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20.79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征地拆迁补偿款</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160.84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律师费用</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起诉费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国土空间规划编制</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159.25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国土空间一张图监督系统项目</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170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征地补偿费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耕地开垦费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55.76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麦提赛迪·奥斯曼土地补偿费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4.87</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自然资源确权项目</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60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张秀珍国有土地使用权收回费用</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56.54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打击“洗洞”盗采金矿联合执法检查经费</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民丰县国土空间规划“三区三线” 永久基本农田划定工作项目</w:t>
            </w:r>
          </w:p>
        </w:tc>
        <w:tc>
          <w:tcPr>
            <w:tcW w:w="2525" w:type="dxa"/>
            <w:vAlign w:val="bottom"/>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35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各类证书费用</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民丰县滨河小区东南侧征地树木补偿费</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9.24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工作经费</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年初预算（暂存款未录系统）</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36个行政村实用性村庄规划编制资金</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年初预算（暂存款未录系统）</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自然资源局周碧工伤补偿费</w:t>
            </w:r>
          </w:p>
        </w:tc>
        <w:tc>
          <w:tcPr>
            <w:tcW w:w="2525" w:type="dxa"/>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5.64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年初预算（暂存款未录系统）</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自然资源局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336.64</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327.76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8.88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326.57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97.01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9.41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2023年“访惠聚”为民办实事工作经费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自治区</w:t>
            </w:r>
            <w:r>
              <w:rPr>
                <w:rFonts w:hint="eastAsia" w:ascii="宋体" w:hAnsi="宋体" w:eastAsia="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9.41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78.42%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9.41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（一）指标一：开展地质环境保护及防灾减灾宣传次数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开展地质环境保护及防灾减灾宣传次数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大于等于84次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本次评价实际完成值是639人次，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（二）指标二：国土空间总体规划数量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国土空间总体规划数量，预期指标是</w:t>
      </w:r>
      <w:r>
        <w:rPr>
          <w:rFonts w:hint="eastAsia" w:ascii="仿宋_GB2312" w:hAnsi="仿宋" w:eastAsia="仿宋_GB2312"/>
          <w:color w:val="auto"/>
          <w:sz w:val="32"/>
          <w:szCs w:val="32"/>
          <w:highlight w:val="none"/>
          <w:lang w:val="en-US" w:eastAsia="zh-CN"/>
        </w:rPr>
        <w:t>大于等于3个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（三）指标三：自然资源确权登记项目数量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自然资源确权登记项目数量，预期指标是</w:t>
      </w:r>
      <w:r>
        <w:rPr>
          <w:rFonts w:hint="eastAsia" w:ascii="仿宋_GB2312" w:hAnsi="仿宋" w:eastAsia="仿宋_GB2312"/>
          <w:color w:val="auto"/>
          <w:sz w:val="32"/>
          <w:szCs w:val="32"/>
          <w:highlight w:val="none"/>
          <w:lang w:val="en-US" w:eastAsia="zh-CN"/>
        </w:rPr>
        <w:t>大于等于6个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2023年度部门整体支出绩效自评综合得分98.4分，评价结果为“优”。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53C376F"/>
    <w:rsid w:val="056B2C09"/>
    <w:rsid w:val="05CB6613"/>
    <w:rsid w:val="065340BF"/>
    <w:rsid w:val="06696209"/>
    <w:rsid w:val="08CC471F"/>
    <w:rsid w:val="0B6F48AA"/>
    <w:rsid w:val="0BC64CF0"/>
    <w:rsid w:val="0C1013EF"/>
    <w:rsid w:val="0D1922F1"/>
    <w:rsid w:val="0D9F0DF1"/>
    <w:rsid w:val="0E325CFD"/>
    <w:rsid w:val="0E737D65"/>
    <w:rsid w:val="10DF6E84"/>
    <w:rsid w:val="127423D4"/>
    <w:rsid w:val="12D07449"/>
    <w:rsid w:val="1438599A"/>
    <w:rsid w:val="14F27B7B"/>
    <w:rsid w:val="189E58C4"/>
    <w:rsid w:val="197406AD"/>
    <w:rsid w:val="19F6744F"/>
    <w:rsid w:val="19FE0A5D"/>
    <w:rsid w:val="1D073223"/>
    <w:rsid w:val="1D95187B"/>
    <w:rsid w:val="1FBB36D6"/>
    <w:rsid w:val="200F4073"/>
    <w:rsid w:val="229016F2"/>
    <w:rsid w:val="236F5373"/>
    <w:rsid w:val="23820713"/>
    <w:rsid w:val="24B86128"/>
    <w:rsid w:val="28F109D1"/>
    <w:rsid w:val="291F3644"/>
    <w:rsid w:val="2AF77D81"/>
    <w:rsid w:val="2B043BBD"/>
    <w:rsid w:val="2B4341EB"/>
    <w:rsid w:val="2DE92A48"/>
    <w:rsid w:val="2E913C19"/>
    <w:rsid w:val="2EE7129F"/>
    <w:rsid w:val="2EF80FF5"/>
    <w:rsid w:val="307179D7"/>
    <w:rsid w:val="30A967BD"/>
    <w:rsid w:val="30C71428"/>
    <w:rsid w:val="31153648"/>
    <w:rsid w:val="311D1738"/>
    <w:rsid w:val="32650FE8"/>
    <w:rsid w:val="32F63DCB"/>
    <w:rsid w:val="33D53037"/>
    <w:rsid w:val="350E12DF"/>
    <w:rsid w:val="35274E80"/>
    <w:rsid w:val="35446943"/>
    <w:rsid w:val="37213B34"/>
    <w:rsid w:val="38A61EBD"/>
    <w:rsid w:val="3ABA302D"/>
    <w:rsid w:val="3BBF2075"/>
    <w:rsid w:val="3FD249C9"/>
    <w:rsid w:val="3FD35BB0"/>
    <w:rsid w:val="433C35D6"/>
    <w:rsid w:val="44081B00"/>
    <w:rsid w:val="44202481"/>
    <w:rsid w:val="455525A3"/>
    <w:rsid w:val="4CE26E4A"/>
    <w:rsid w:val="4D5352D2"/>
    <w:rsid w:val="4F245112"/>
    <w:rsid w:val="50966E31"/>
    <w:rsid w:val="51C70EA9"/>
    <w:rsid w:val="51EC08C3"/>
    <w:rsid w:val="52DD0612"/>
    <w:rsid w:val="53B535AD"/>
    <w:rsid w:val="54942087"/>
    <w:rsid w:val="54F842B6"/>
    <w:rsid w:val="55525A1B"/>
    <w:rsid w:val="58CB188F"/>
    <w:rsid w:val="58FB7FD2"/>
    <w:rsid w:val="59315140"/>
    <w:rsid w:val="5B9757C7"/>
    <w:rsid w:val="5BD87229"/>
    <w:rsid w:val="5EB12FFC"/>
    <w:rsid w:val="5FCF4505"/>
    <w:rsid w:val="60810646"/>
    <w:rsid w:val="60A001E1"/>
    <w:rsid w:val="61533F93"/>
    <w:rsid w:val="64F5745B"/>
    <w:rsid w:val="656071F2"/>
    <w:rsid w:val="668A5953"/>
    <w:rsid w:val="67163E36"/>
    <w:rsid w:val="67A46ABB"/>
    <w:rsid w:val="67A760D9"/>
    <w:rsid w:val="697650C9"/>
    <w:rsid w:val="6BF1756B"/>
    <w:rsid w:val="6F5E1AA3"/>
    <w:rsid w:val="6FC63036"/>
    <w:rsid w:val="70AD31F0"/>
    <w:rsid w:val="75E10FF1"/>
    <w:rsid w:val="76434FBA"/>
    <w:rsid w:val="769A4E05"/>
    <w:rsid w:val="7B5A04B1"/>
    <w:rsid w:val="7C5764FD"/>
    <w:rsid w:val="7F200B83"/>
    <w:rsid w:val="7F5D585A"/>
    <w:rsid w:val="FDAFF5C2"/>
    <w:rsid w:val="FFBFB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2024-10-11T19:42:40Z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