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民丰县尼雅乡卫生院</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部门单位名称（公章）：民丰县尼雅乡卫生院</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Times New Roman"/>
          <w:b/>
          <w:bCs w:val="0"/>
          <w:color w:val="auto"/>
          <w:sz w:val="32"/>
          <w:szCs w:val="32"/>
          <w:highlight w:val="none"/>
        </w:rPr>
      </w:pPr>
      <w:r>
        <w:rPr>
          <w:rFonts w:hint="eastAsia" w:ascii="仿宋_GB2312" w:hAnsi="宋体" w:eastAsia="仿宋_GB2312"/>
          <w:b w:val="0"/>
          <w:bCs/>
          <w:sz w:val="32"/>
          <w:szCs w:val="32"/>
        </w:rPr>
        <w:t>民丰县尼雅乡人民卫生院在县委领导下，以习近平新时代中国特色社会主义思想为指导，全面贯彻党的十九大精神，紧紧围绕乡卫生院的工作思路，切实履行乡卫生院的工作职责</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主要职责是：负责所在地区内医疗卫生工作，组织领导群众卫生运动；培训卫生技术人员并对基层卫生医疗机构进行业务指导和会诊工作；担负医疗防疫，保健的重要任务</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lang w:val="en-US" w:eastAsia="zh-CN"/>
        </w:rPr>
        <w:t xml:space="preserve">  </w:t>
      </w:r>
      <w:r>
        <w:rPr>
          <w:rFonts w:hint="eastAsia" w:ascii="仿宋_GB2312" w:hAnsi="仿宋" w:eastAsia="仿宋_GB2312" w:cs="Times New Roman"/>
          <w:b/>
          <w:bCs w:val="0"/>
          <w:color w:val="auto"/>
          <w:sz w:val="32"/>
          <w:szCs w:val="32"/>
          <w:highlight w:val="none"/>
          <w:lang w:val="en-US" w:eastAsia="zh-CN"/>
        </w:rPr>
        <w:t>2.</w:t>
      </w: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rPr>
        <w:t>和田地区民丰县尼雅乡人民卫生院无下属预算单位，民丰县尼雅乡人民卫生院无下属预算单位，</w:t>
      </w:r>
      <w:r>
        <w:rPr>
          <w:rFonts w:hint="eastAsia" w:ascii="仿宋_GB2312" w:hAnsi="宋体" w:eastAsia="仿宋_GB2312"/>
          <w:b w:val="0"/>
          <w:bCs/>
          <w:sz w:val="32"/>
          <w:szCs w:val="32"/>
          <w:lang w:val="en-US" w:eastAsia="zh-CN"/>
        </w:rPr>
        <w:t>在职人员34人</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仿宋_GB2312" w:hAnsi="宋体" w:eastAsia="仿宋_GB2312"/>
          <w:b w:val="0"/>
          <w:bCs/>
          <w:sz w:val="32"/>
          <w:szCs w:val="32"/>
          <w:lang w:eastAsia="zh-CN"/>
        </w:rPr>
        <w:t>目标1：免费向城乡居民提供基本公共卫生服务，以乡镇（街道）为单位适龄儿童国家免疫规划疫苗接种率大于等于95%，全面保障辖区内各项医疗卫生及各项业务工作正常有序开展，实施基本药物制度卫生机构数1个，为我辖区不少于8506人建立健康档案，接待门诊患者不少于25841人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lang w:eastAsia="zh-CN"/>
        </w:rPr>
        <w:t>目标2：贯彻执行传染病预防诊治和管理工作，开展健康教育活动不少于13次，进行防病指导，逐步提高基层医疗服务水平，保障社区居民的健康水平；营造良好社会氛围，逐步增强居民健康保健意识。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Style w:val="9"/>
          <w:rFonts w:hint="eastAsia" w:ascii="仿宋_GB2312" w:hAnsi="楷体" w:eastAsia="仿宋_GB2312"/>
          <w:b w:val="0"/>
          <w:color w:val="auto"/>
          <w:spacing w:val="-4"/>
          <w:sz w:val="32"/>
          <w:szCs w:val="32"/>
          <w:highlight w:val="none"/>
          <w:lang w:val="en-US" w:eastAsia="zh-CN"/>
        </w:rPr>
      </w:pPr>
      <w:r>
        <w:rPr>
          <w:rFonts w:hint="eastAsia" w:ascii="仿宋_GB2312" w:hAnsi="宋体" w:eastAsia="仿宋_GB2312"/>
          <w:b w:val="0"/>
          <w:bCs/>
          <w:sz w:val="32"/>
          <w:szCs w:val="32"/>
          <w:lang w:eastAsia="zh-CN"/>
        </w:rPr>
        <w:t>目标3：作为全镇医疗业务技术服务中心，承担乡域内常见病、多发病的诊治任务，我院将不断规范医疗行业医疗安全，不断提高医疗服务质量，开展医护人员业务培训不少于36次</w:t>
      </w:r>
      <w:r>
        <w:rPr>
          <w:rFonts w:hint="eastAsia" w:ascii="仿宋_GB2312" w:hAnsi="宋体" w:eastAsia="仿宋_GB2312"/>
          <w:b w:val="0"/>
          <w:bCs/>
          <w:sz w:val="32"/>
          <w:szCs w:val="32"/>
        </w:rPr>
        <w:t>。</w:t>
      </w:r>
    </w:p>
    <w:p>
      <w:pPr>
        <w:spacing w:line="600" w:lineRule="exact"/>
        <w:ind w:firstLine="641" w:firstLineChars="2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0万元，预算数（调整后）1.7万元，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1.7万元，执行率100%。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634.7万元，预算数（调整后）887.75万元，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887.75万元，执行率100%。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其他资金（单位事业收入资金）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203.81万元，预算数（调整后）167.29万元，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167.29万元，执行率100%。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尼雅乡卫生院</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887.75</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717.99</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169.76万元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887.75</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尼雅乡卫生院</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1.7</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1.7</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尼雅乡卫生院</w:t>
      </w:r>
      <w:r>
        <w:rPr>
          <w:rFonts w:hint="eastAsia" w:hAnsi="方正楷体简体"/>
          <w:color w:val="auto"/>
          <w:highlight w:val="none"/>
        </w:rPr>
        <w:t>项目支出共涉及</w:t>
      </w:r>
      <w:r>
        <w:rPr>
          <w:rFonts w:hint="eastAsia" w:hAnsi="方正楷体简体"/>
          <w:color w:val="auto"/>
          <w:highlight w:val="none"/>
          <w:lang w:val="en-US" w:eastAsia="zh-CN"/>
        </w:rPr>
        <w:t>1</w:t>
      </w:r>
      <w:r>
        <w:rPr>
          <w:rFonts w:hint="eastAsia" w:hAnsi="方正楷体简体"/>
          <w:color w:val="auto"/>
          <w:highlight w:val="none"/>
        </w:rPr>
        <w:t>个项目，分别为：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525"/>
        <w:gridCol w:w="2783"/>
      </w:tblGrid>
      <w:tr>
        <w:trPr>
          <w:trHeight w:val="90" w:hRule="atLeast"/>
        </w:trP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525"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83"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rPr>
          <w:trHeight w:val="724" w:hRule="atLeast"/>
        </w:trPr>
        <w:tc>
          <w:tcPr>
            <w:tcW w:w="4606" w:type="dxa"/>
            <w:vAlign w:val="center"/>
          </w:tcPr>
          <w:p>
            <w:pPr>
              <w:keepNext w:val="0"/>
              <w:keepLines w:val="0"/>
              <w:widowControl/>
              <w:suppressLineNumbers w:val="0"/>
              <w:jc w:val="left"/>
              <w:textAlignment w:val="center"/>
              <w:rPr>
                <w:rFonts w:hint="eastAsia" w:ascii="仿宋_GB2312" w:hAnsi="仿宋" w:eastAsia="仿宋_GB2312" w:cs="宋体"/>
                <w:color w:val="auto"/>
                <w:sz w:val="32"/>
                <w:szCs w:val="32"/>
                <w:highlight w:val="none"/>
              </w:rPr>
            </w:pPr>
            <w:r>
              <w:rPr>
                <w:rFonts w:hint="eastAsia" w:ascii="宋体" w:hAnsi="宋体" w:eastAsia="宋体" w:cs="宋体"/>
                <w:i w:val="0"/>
                <w:color w:val="000000"/>
                <w:kern w:val="0"/>
                <w:sz w:val="22"/>
                <w:szCs w:val="22"/>
                <w:u w:val="none"/>
                <w:lang w:val="en-US" w:eastAsia="zh-CN" w:bidi="ar"/>
              </w:rPr>
              <w:t>2023年中央第二批重大传染病防控补助</w:t>
            </w:r>
          </w:p>
        </w:tc>
        <w:tc>
          <w:tcPr>
            <w:tcW w:w="2525" w:type="dxa"/>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1.7</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中央专项</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尼雅乡卫生院</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887.75</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717.99</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169.76万元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887.75</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1.7</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1.7</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6"/>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1062"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nil"/>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2"/>
                <w:szCs w:val="22"/>
                <w:u w:val="none"/>
                <w:lang w:val="en-US" w:eastAsia="zh-CN" w:bidi="ar"/>
              </w:rPr>
              <w:t>2023年中央第二批重大传染病防控补助</w:t>
            </w:r>
          </w:p>
        </w:tc>
        <w:tc>
          <w:tcPr>
            <w:tcW w:w="1664" w:type="dxa"/>
            <w:tcBorders>
              <w:top w:val="nil"/>
              <w:left w:val="nil"/>
              <w:bottom w:val="nil"/>
              <w:right w:val="single" w:color="auto" w:sz="8" w:space="0"/>
            </w:tcBorders>
            <w:shd w:val="clear" w:color="auto" w:fill="auto"/>
            <w:vAlign w:val="center"/>
          </w:tcPr>
          <w:p>
            <w:pPr>
              <w:keepNext w:val="0"/>
              <w:keepLines w:val="0"/>
              <w:widowControl/>
              <w:suppressLineNumbers w:val="0"/>
              <w:jc w:val="right"/>
              <w:textAlignment w:val="center"/>
              <w:rPr>
                <w:rFonts w:hint="default" w:ascii="仿宋_GB2312" w:hAnsi="仿宋" w:eastAsia="仿宋_GB2312" w:cs="宋体"/>
                <w:color w:val="auto"/>
                <w:kern w:val="0"/>
                <w:sz w:val="32"/>
                <w:szCs w:val="32"/>
                <w:highlight w:val="none"/>
                <w:lang w:val="en-US"/>
              </w:rPr>
            </w:pPr>
            <w:r>
              <w:rPr>
                <w:rFonts w:hint="eastAsia" w:ascii="宋体" w:hAnsi="宋体" w:eastAsia="宋体" w:cs="宋体"/>
                <w:i w:val="0"/>
                <w:color w:val="000000"/>
                <w:kern w:val="0"/>
                <w:sz w:val="22"/>
                <w:szCs w:val="22"/>
                <w:u w:val="none"/>
                <w:lang w:val="en-US" w:eastAsia="zh-CN" w:bidi="ar"/>
              </w:rPr>
              <w:t>1.7</w:t>
            </w:r>
          </w:p>
        </w:tc>
        <w:tc>
          <w:tcPr>
            <w:tcW w:w="2073" w:type="dxa"/>
            <w:tcBorders>
              <w:top w:val="nil"/>
              <w:left w:val="nil"/>
              <w:bottom w:val="nil"/>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宋体" w:hAnsi="宋体" w:cs="宋体"/>
                <w:i w:val="0"/>
                <w:color w:val="auto"/>
                <w:kern w:val="0"/>
                <w:sz w:val="22"/>
                <w:szCs w:val="22"/>
                <w:highlight w:val="none"/>
                <w:u w:val="none"/>
                <w:lang w:val="en-US" w:eastAsia="zh-CN" w:bidi="ar"/>
              </w:rPr>
              <w:t>中央专项</w:t>
            </w:r>
          </w:p>
        </w:tc>
        <w:tc>
          <w:tcPr>
            <w:tcW w:w="1527" w:type="dxa"/>
            <w:tcBorders>
              <w:top w:val="nil"/>
              <w:left w:val="nil"/>
              <w:bottom w:val="nil"/>
              <w:right w:val="single" w:color="auto" w:sz="8" w:space="0"/>
            </w:tcBorders>
            <w:shd w:val="clear" w:color="auto" w:fill="auto"/>
            <w:vAlign w:val="center"/>
          </w:tcPr>
          <w:p>
            <w:pPr>
              <w:keepNext w:val="0"/>
              <w:keepLines w:val="0"/>
              <w:widowControl/>
              <w:suppressLineNumbers w:val="0"/>
              <w:jc w:val="right"/>
              <w:textAlignment w:val="center"/>
              <w:rPr>
                <w:rFonts w:hint="default" w:ascii="仿宋_GB2312" w:hAnsi="仿宋" w:eastAsia="仿宋_GB2312" w:cs="宋体"/>
                <w:color w:val="auto"/>
                <w:kern w:val="0"/>
                <w:sz w:val="32"/>
                <w:szCs w:val="32"/>
                <w:highlight w:val="none"/>
                <w:lang w:val="en-US"/>
              </w:rPr>
            </w:pPr>
            <w:r>
              <w:rPr>
                <w:rFonts w:hint="eastAsia" w:ascii="宋体" w:hAnsi="宋体" w:eastAsia="宋体" w:cs="宋体"/>
                <w:i w:val="0"/>
                <w:color w:val="000000"/>
                <w:kern w:val="0"/>
                <w:sz w:val="22"/>
                <w:szCs w:val="22"/>
                <w:u w:val="none"/>
                <w:lang w:val="en-US" w:eastAsia="zh-CN" w:bidi="ar"/>
              </w:rPr>
              <w:t>1.7</w:t>
            </w:r>
          </w:p>
        </w:tc>
        <w:tc>
          <w:tcPr>
            <w:tcW w:w="1520" w:type="dxa"/>
            <w:tcBorders>
              <w:top w:val="nil"/>
              <w:left w:val="nil"/>
              <w:bottom w:val="nil"/>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22"/>
                <w:szCs w:val="22"/>
                <w:highlight w:val="none"/>
                <w:lang w:val="en-US" w:eastAsia="zh-CN"/>
              </w:rPr>
            </w:pPr>
            <w:r>
              <w:rPr>
                <w:rFonts w:hint="eastAsia" w:ascii="Calibri" w:hAnsi="Calibri" w:cs="Calibri"/>
                <w:i w:val="0"/>
                <w:color w:val="000000"/>
                <w:kern w:val="0"/>
                <w:sz w:val="24"/>
                <w:szCs w:val="24"/>
                <w:u w:val="none"/>
                <w:lang w:val="en-US" w:eastAsia="zh-CN" w:bidi="ar"/>
              </w:rPr>
              <w:t>100%</w:t>
            </w:r>
          </w:p>
        </w:tc>
      </w:tr>
      <w:tr>
        <w:trPr>
          <w:trHeight w:val="800"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eastAsia" w:ascii="Calibri" w:hAnsi="Calibri" w:cs="Calibri"/>
                <w:i w:val="0"/>
                <w:color w:val="000000"/>
                <w:kern w:val="0"/>
                <w:sz w:val="24"/>
                <w:szCs w:val="24"/>
                <w:u w:val="none"/>
                <w:lang w:val="en-US" w:eastAsia="zh-CN" w:bidi="ar"/>
              </w:rPr>
              <w:t>1.7</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eastAsia" w:ascii="Calibri" w:hAnsi="Calibri" w:cs="Calibri"/>
                <w:i w:val="0"/>
                <w:color w:val="000000"/>
                <w:kern w:val="0"/>
                <w:sz w:val="24"/>
                <w:szCs w:val="24"/>
                <w:u w:val="none"/>
                <w:lang w:val="en-US" w:eastAsia="zh-CN" w:bidi="ar"/>
              </w:rPr>
              <w:t>1.7</w:t>
            </w:r>
          </w:p>
        </w:tc>
        <w:tc>
          <w:tcPr>
            <w:tcW w:w="1520"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cs="Calibri"/>
                <w:i w:val="0"/>
                <w:color w:val="000000"/>
                <w:kern w:val="0"/>
                <w:sz w:val="24"/>
                <w:szCs w:val="24"/>
                <w:u w:val="none"/>
                <w:lang w:val="en-US" w:eastAsia="zh-CN" w:bidi="ar"/>
              </w:rPr>
            </w:pPr>
            <w:r>
              <w:rPr>
                <w:rFonts w:hint="eastAsia" w:ascii="Calibri" w:hAnsi="Calibri" w:cs="Calibri"/>
                <w:i w:val="0"/>
                <w:color w:val="000000"/>
                <w:kern w:val="0"/>
                <w:sz w:val="24"/>
                <w:szCs w:val="24"/>
                <w:u w:val="none"/>
                <w:lang w:val="en-US" w:eastAsia="zh-CN" w:bidi="ar"/>
              </w:rPr>
              <w:t>100%</w:t>
            </w:r>
          </w:p>
        </w:tc>
      </w:tr>
    </w:tbl>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cs="Times New Roman"/>
          <w:bCs/>
          <w:color w:val="auto"/>
          <w:sz w:val="32"/>
          <w:szCs w:val="32"/>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（一）指标一：接待门诊患者人次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接待门诊患者人次，预期指标是大于等于25841次，年中绩效运行监控完成值是12920次，本次评价实际完成值是31249次，达到预期目标。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（二）指标二：全民健康体检人数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全民健康体检人数，预期指标是</w:t>
      </w:r>
      <w:r>
        <w:rPr>
          <w:rFonts w:hint="eastAsia" w:ascii="仿宋_GB2312" w:hAnsi="仿宋" w:eastAsia="仿宋_GB2312"/>
          <w:color w:val="auto"/>
          <w:sz w:val="32"/>
          <w:szCs w:val="32"/>
          <w:highlight w:val="none"/>
          <w:lang w:val="en-US" w:eastAsia="zh-CN"/>
        </w:rPr>
        <w:t>大于等于5749人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4864人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本次评价实际完成值是5794人，</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（三）指标三：乡村医生执业（助理）数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乡村医生执业（助理）数，预期指标是</w:t>
      </w:r>
      <w:r>
        <w:rPr>
          <w:rFonts w:hint="eastAsia" w:ascii="仿宋_GB2312" w:hAnsi="仿宋" w:eastAsia="仿宋_GB2312"/>
          <w:color w:val="auto"/>
          <w:sz w:val="32"/>
          <w:szCs w:val="32"/>
          <w:highlight w:val="none"/>
          <w:lang w:val="en-US" w:eastAsia="zh-CN"/>
        </w:rPr>
        <w:t>大于等于14名</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14名</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w:t>
      </w:r>
      <w:r>
        <w:rPr>
          <w:rFonts w:hint="eastAsia" w:ascii="仿宋_GB2312" w:hAnsi="仿宋" w:eastAsia="仿宋_GB2312"/>
          <w:color w:val="auto"/>
          <w:sz w:val="32"/>
          <w:szCs w:val="32"/>
          <w:highlight w:val="none"/>
          <w:lang w:val="en-US" w:eastAsia="zh-CN"/>
        </w:rPr>
        <w:t>14名</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（四）指标四：开展健康教育活动次数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开展健康教育活动次数，预期指标是</w:t>
      </w:r>
      <w:r>
        <w:rPr>
          <w:rFonts w:hint="eastAsia" w:ascii="仿宋_GB2312" w:hAnsi="仿宋" w:eastAsia="仿宋_GB2312"/>
          <w:color w:val="auto"/>
          <w:sz w:val="32"/>
          <w:szCs w:val="32"/>
          <w:highlight w:val="none"/>
          <w:lang w:val="en-US" w:eastAsia="zh-CN"/>
        </w:rPr>
        <w:t>大于等于13次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6次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w:t>
      </w:r>
      <w:r>
        <w:rPr>
          <w:rFonts w:hint="eastAsia" w:ascii="仿宋_GB2312" w:hAnsi="仿宋" w:eastAsia="仿宋_GB2312"/>
          <w:color w:val="auto"/>
          <w:sz w:val="32"/>
          <w:szCs w:val="32"/>
          <w:highlight w:val="none"/>
          <w:lang w:val="en-US" w:eastAsia="zh-CN"/>
        </w:rPr>
        <w:t>9次</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（五）指标五：开展医护人员业务培训</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开展医护人员业务培训，预期指标是</w:t>
      </w:r>
      <w:r>
        <w:rPr>
          <w:rFonts w:hint="eastAsia" w:ascii="仿宋_GB2312" w:hAnsi="仿宋" w:eastAsia="仿宋_GB2312"/>
          <w:color w:val="auto"/>
          <w:sz w:val="32"/>
          <w:szCs w:val="32"/>
          <w:highlight w:val="none"/>
          <w:lang w:val="en-US" w:eastAsia="zh-CN"/>
        </w:rPr>
        <w:t>大于等于36次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18次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本次评价实际完成值是4次，未</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。原因：年初预算不精准。措施：加强预算精准度。</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（六）指标六：居民健康档案管理率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居民健康档案管理率，预期指标是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（七）指标七：适龄儿童相关疫苗接种率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适龄儿童相关疫苗接种率</w:t>
      </w:r>
      <w:r>
        <w:rPr>
          <w:rFonts w:hint="eastAsia" w:ascii="仿宋_GB2312" w:hAnsi="仿宋" w:eastAsia="仿宋_GB2312"/>
          <w:color w:val="auto"/>
          <w:sz w:val="32"/>
          <w:szCs w:val="32"/>
          <w:highlight w:val="none"/>
          <w:lang w:eastAsia="zh-CN"/>
        </w:rPr>
        <w:t>，</w:t>
      </w:r>
      <w:r>
        <w:rPr>
          <w:rFonts w:hint="eastAsia" w:ascii="仿宋_GB2312" w:hAnsi="仿宋" w:eastAsia="仿宋_GB2312"/>
          <w:color w:val="auto"/>
          <w:sz w:val="32"/>
          <w:szCs w:val="32"/>
          <w:highlight w:val="none"/>
        </w:rPr>
        <w:t>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（八）指标八：高血压、糖尿病患者规范管理率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lang w:val="en-US" w:eastAsia="zh-CN"/>
        </w:rPr>
      </w:pPr>
      <w:r>
        <w:rPr>
          <w:rFonts w:hint="eastAsia" w:ascii="仿宋_GB2312" w:hAnsi="仿宋" w:eastAsia="仿宋_GB2312"/>
          <w:color w:val="auto"/>
          <w:sz w:val="32"/>
          <w:szCs w:val="32"/>
          <w:highlight w:val="none"/>
        </w:rPr>
        <w:t>高血压、糖尿病患者规范管理率</w:t>
      </w:r>
      <w:r>
        <w:rPr>
          <w:rFonts w:hint="eastAsia" w:ascii="仿宋_GB2312" w:hAnsi="仿宋" w:eastAsia="仿宋_GB2312"/>
          <w:color w:val="auto"/>
          <w:sz w:val="32"/>
          <w:szCs w:val="32"/>
          <w:highlight w:val="none"/>
          <w:lang w:eastAsia="zh-CN"/>
        </w:rPr>
        <w:t>，</w:t>
      </w:r>
      <w:r>
        <w:rPr>
          <w:rFonts w:hint="eastAsia" w:ascii="仿宋_GB2312" w:hAnsi="仿宋" w:eastAsia="仿宋_GB2312"/>
          <w:color w:val="auto"/>
          <w:sz w:val="32"/>
          <w:szCs w:val="32"/>
          <w:highlight w:val="none"/>
        </w:rPr>
        <w:t>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2023年度部门整体支出绩效自评综合得分91.11分，评价结果为“优”。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对个别项目资金使用方面预算不够细致，出现实际支出数超出了预算申报数和出现项目资金结</w:t>
      </w:r>
      <w:r>
        <w:rPr>
          <w:rFonts w:hint="eastAsia" w:ascii="仿宋_GB2312" w:hAnsi="仿宋" w:eastAsia="仿宋_GB2312" w:cs="仿宋"/>
          <w:color w:val="auto"/>
          <w:spacing w:val="-4"/>
          <w:sz w:val="32"/>
          <w:szCs w:val="32"/>
          <w:highlight w:val="none"/>
          <w:lang w:eastAsia="zh-CN"/>
        </w:rPr>
        <w:t>余数</w:t>
      </w:r>
      <w:r>
        <w:rPr>
          <w:rFonts w:ascii="仿宋_GB2312" w:hAnsi="仿宋" w:eastAsia="仿宋_GB2312" w:cs="仿宋"/>
          <w:color w:val="auto"/>
          <w:spacing w:val="-4"/>
          <w:sz w:val="32"/>
          <w:szCs w:val="32"/>
          <w:highlight w:val="none"/>
        </w:rPr>
        <w:t>额多的情况。</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汉仪楷体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8616A"/>
    <w:rsid w:val="00EB3604"/>
    <w:rsid w:val="01057E1B"/>
    <w:rsid w:val="011A4A9E"/>
    <w:rsid w:val="01A65187"/>
    <w:rsid w:val="02083FE3"/>
    <w:rsid w:val="020B07BA"/>
    <w:rsid w:val="02143AF3"/>
    <w:rsid w:val="025F60B9"/>
    <w:rsid w:val="02656D15"/>
    <w:rsid w:val="02965E8D"/>
    <w:rsid w:val="036F25A0"/>
    <w:rsid w:val="037F0728"/>
    <w:rsid w:val="03D360F1"/>
    <w:rsid w:val="04440438"/>
    <w:rsid w:val="04537F5A"/>
    <w:rsid w:val="04D06597"/>
    <w:rsid w:val="04E4679D"/>
    <w:rsid w:val="053C376F"/>
    <w:rsid w:val="056B2C09"/>
    <w:rsid w:val="05731446"/>
    <w:rsid w:val="05CB6613"/>
    <w:rsid w:val="065340BF"/>
    <w:rsid w:val="06696209"/>
    <w:rsid w:val="066F7F31"/>
    <w:rsid w:val="071976DD"/>
    <w:rsid w:val="073938AD"/>
    <w:rsid w:val="07505305"/>
    <w:rsid w:val="08CC471F"/>
    <w:rsid w:val="098242D9"/>
    <w:rsid w:val="099C464D"/>
    <w:rsid w:val="09F33E85"/>
    <w:rsid w:val="0A417E47"/>
    <w:rsid w:val="0A9F104D"/>
    <w:rsid w:val="0B6F48AA"/>
    <w:rsid w:val="0BC64CF0"/>
    <w:rsid w:val="0C1013EF"/>
    <w:rsid w:val="0C354671"/>
    <w:rsid w:val="0C561A59"/>
    <w:rsid w:val="0C993046"/>
    <w:rsid w:val="0CAF12D8"/>
    <w:rsid w:val="0CB7795C"/>
    <w:rsid w:val="0D19113A"/>
    <w:rsid w:val="0D1922F1"/>
    <w:rsid w:val="0D825121"/>
    <w:rsid w:val="0D9F0DF1"/>
    <w:rsid w:val="0DBD196E"/>
    <w:rsid w:val="0E325CFD"/>
    <w:rsid w:val="0E737D65"/>
    <w:rsid w:val="0F26701B"/>
    <w:rsid w:val="0F471127"/>
    <w:rsid w:val="0FA5497F"/>
    <w:rsid w:val="10824D78"/>
    <w:rsid w:val="10DF6E84"/>
    <w:rsid w:val="10F40F73"/>
    <w:rsid w:val="115D6C7D"/>
    <w:rsid w:val="119055B4"/>
    <w:rsid w:val="11F017F5"/>
    <w:rsid w:val="120D1EEA"/>
    <w:rsid w:val="123F73AE"/>
    <w:rsid w:val="127423D4"/>
    <w:rsid w:val="12D07449"/>
    <w:rsid w:val="12E977B3"/>
    <w:rsid w:val="13072B53"/>
    <w:rsid w:val="1438599A"/>
    <w:rsid w:val="14775B53"/>
    <w:rsid w:val="14823F46"/>
    <w:rsid w:val="14F27B7B"/>
    <w:rsid w:val="15A74E16"/>
    <w:rsid w:val="176A0FC5"/>
    <w:rsid w:val="18344297"/>
    <w:rsid w:val="188924B6"/>
    <w:rsid w:val="189E58C4"/>
    <w:rsid w:val="197406AD"/>
    <w:rsid w:val="1999359E"/>
    <w:rsid w:val="19E24A4E"/>
    <w:rsid w:val="19F6744F"/>
    <w:rsid w:val="19FE0A5D"/>
    <w:rsid w:val="1AA2333B"/>
    <w:rsid w:val="1B1332CA"/>
    <w:rsid w:val="1BFA024C"/>
    <w:rsid w:val="1C003E03"/>
    <w:rsid w:val="1C94135C"/>
    <w:rsid w:val="1CBE5A05"/>
    <w:rsid w:val="1CDE4763"/>
    <w:rsid w:val="1D073223"/>
    <w:rsid w:val="1D95187B"/>
    <w:rsid w:val="1DA07965"/>
    <w:rsid w:val="1E450659"/>
    <w:rsid w:val="1E480663"/>
    <w:rsid w:val="1F2E40D0"/>
    <w:rsid w:val="1F90448E"/>
    <w:rsid w:val="1FBB36D6"/>
    <w:rsid w:val="200F4073"/>
    <w:rsid w:val="204070F0"/>
    <w:rsid w:val="210248A0"/>
    <w:rsid w:val="211F7E62"/>
    <w:rsid w:val="21374989"/>
    <w:rsid w:val="21403735"/>
    <w:rsid w:val="215A51EF"/>
    <w:rsid w:val="21E22F6F"/>
    <w:rsid w:val="21F15116"/>
    <w:rsid w:val="22432A40"/>
    <w:rsid w:val="229016F2"/>
    <w:rsid w:val="22E017C5"/>
    <w:rsid w:val="231D00E5"/>
    <w:rsid w:val="236F5373"/>
    <w:rsid w:val="23741243"/>
    <w:rsid w:val="23820713"/>
    <w:rsid w:val="238F1E22"/>
    <w:rsid w:val="247B4D27"/>
    <w:rsid w:val="24B86128"/>
    <w:rsid w:val="25930A3E"/>
    <w:rsid w:val="26122C15"/>
    <w:rsid w:val="279714E3"/>
    <w:rsid w:val="28001490"/>
    <w:rsid w:val="28056196"/>
    <w:rsid w:val="28F109D1"/>
    <w:rsid w:val="291F3644"/>
    <w:rsid w:val="29527CE9"/>
    <w:rsid w:val="29B24CBA"/>
    <w:rsid w:val="29C30BFF"/>
    <w:rsid w:val="2AF4485D"/>
    <w:rsid w:val="2AF77D81"/>
    <w:rsid w:val="2B043BBD"/>
    <w:rsid w:val="2B131174"/>
    <w:rsid w:val="2B4341EB"/>
    <w:rsid w:val="2B513E61"/>
    <w:rsid w:val="2C454A8E"/>
    <w:rsid w:val="2C736830"/>
    <w:rsid w:val="2C9E18B5"/>
    <w:rsid w:val="2D066D8C"/>
    <w:rsid w:val="2D8F0F02"/>
    <w:rsid w:val="2DC21BBA"/>
    <w:rsid w:val="2DE92A48"/>
    <w:rsid w:val="2E030A04"/>
    <w:rsid w:val="2E501733"/>
    <w:rsid w:val="2E913C19"/>
    <w:rsid w:val="2EE7129F"/>
    <w:rsid w:val="2EF80FF5"/>
    <w:rsid w:val="2FB33ACF"/>
    <w:rsid w:val="30252FB1"/>
    <w:rsid w:val="307179D7"/>
    <w:rsid w:val="30A967BD"/>
    <w:rsid w:val="30BD2E56"/>
    <w:rsid w:val="30C353D7"/>
    <w:rsid w:val="30C71428"/>
    <w:rsid w:val="30E6123B"/>
    <w:rsid w:val="31153648"/>
    <w:rsid w:val="311600D2"/>
    <w:rsid w:val="311D1738"/>
    <w:rsid w:val="3148295B"/>
    <w:rsid w:val="31DC2E54"/>
    <w:rsid w:val="32650FE8"/>
    <w:rsid w:val="328647CF"/>
    <w:rsid w:val="32F63DCB"/>
    <w:rsid w:val="334B0733"/>
    <w:rsid w:val="3353337A"/>
    <w:rsid w:val="33D53037"/>
    <w:rsid w:val="34583CA2"/>
    <w:rsid w:val="347B7404"/>
    <w:rsid w:val="350E12DF"/>
    <w:rsid w:val="35274E80"/>
    <w:rsid w:val="35446943"/>
    <w:rsid w:val="35752DE8"/>
    <w:rsid w:val="35F37FF3"/>
    <w:rsid w:val="35F516C7"/>
    <w:rsid w:val="36E918C3"/>
    <w:rsid w:val="37213B34"/>
    <w:rsid w:val="37847141"/>
    <w:rsid w:val="379C4287"/>
    <w:rsid w:val="37E01ED0"/>
    <w:rsid w:val="38A61EBD"/>
    <w:rsid w:val="38BD6D70"/>
    <w:rsid w:val="3A560600"/>
    <w:rsid w:val="3A6433F2"/>
    <w:rsid w:val="3ABA302D"/>
    <w:rsid w:val="3AE82860"/>
    <w:rsid w:val="3AEE50B7"/>
    <w:rsid w:val="3AFC5DBC"/>
    <w:rsid w:val="3B31606E"/>
    <w:rsid w:val="3BBF2075"/>
    <w:rsid w:val="3C1B2B4E"/>
    <w:rsid w:val="3CFE76CD"/>
    <w:rsid w:val="3D066B28"/>
    <w:rsid w:val="3D3752E3"/>
    <w:rsid w:val="3E502FE6"/>
    <w:rsid w:val="3F9A26C0"/>
    <w:rsid w:val="3FD249C9"/>
    <w:rsid w:val="3FD35BB0"/>
    <w:rsid w:val="4004687B"/>
    <w:rsid w:val="40077544"/>
    <w:rsid w:val="40C329C5"/>
    <w:rsid w:val="421B0BD5"/>
    <w:rsid w:val="421C6A8E"/>
    <w:rsid w:val="42715D92"/>
    <w:rsid w:val="42D76E89"/>
    <w:rsid w:val="42ED7A1D"/>
    <w:rsid w:val="433C35D6"/>
    <w:rsid w:val="44081B00"/>
    <w:rsid w:val="441D492B"/>
    <w:rsid w:val="441F7B93"/>
    <w:rsid w:val="44202481"/>
    <w:rsid w:val="446332B0"/>
    <w:rsid w:val="455525A3"/>
    <w:rsid w:val="455F5770"/>
    <w:rsid w:val="46CC7CC3"/>
    <w:rsid w:val="47D305B2"/>
    <w:rsid w:val="490A03E5"/>
    <w:rsid w:val="4AB42801"/>
    <w:rsid w:val="4CAD59B7"/>
    <w:rsid w:val="4CE26E4A"/>
    <w:rsid w:val="4CEE4B39"/>
    <w:rsid w:val="4D5352D2"/>
    <w:rsid w:val="4DB22F1C"/>
    <w:rsid w:val="4F245112"/>
    <w:rsid w:val="50966E31"/>
    <w:rsid w:val="50AC5F11"/>
    <w:rsid w:val="50E644F7"/>
    <w:rsid w:val="50FC6FB1"/>
    <w:rsid w:val="514F0C71"/>
    <w:rsid w:val="51936956"/>
    <w:rsid w:val="51C70EA9"/>
    <w:rsid w:val="51EC08C3"/>
    <w:rsid w:val="522368BC"/>
    <w:rsid w:val="52DD0612"/>
    <w:rsid w:val="535401CD"/>
    <w:rsid w:val="53616619"/>
    <w:rsid w:val="53B535AD"/>
    <w:rsid w:val="53EF3CB0"/>
    <w:rsid w:val="54191C62"/>
    <w:rsid w:val="54942087"/>
    <w:rsid w:val="54F842B6"/>
    <w:rsid w:val="55525A1B"/>
    <w:rsid w:val="57C514DD"/>
    <w:rsid w:val="57DC0FE5"/>
    <w:rsid w:val="57F754E9"/>
    <w:rsid w:val="58125EAF"/>
    <w:rsid w:val="587962AC"/>
    <w:rsid w:val="58CB188F"/>
    <w:rsid w:val="58CF52AA"/>
    <w:rsid w:val="58F84CC2"/>
    <w:rsid w:val="58FB7FD2"/>
    <w:rsid w:val="59315140"/>
    <w:rsid w:val="59E8491A"/>
    <w:rsid w:val="5A5005EF"/>
    <w:rsid w:val="5AE70C2F"/>
    <w:rsid w:val="5B317016"/>
    <w:rsid w:val="5B612024"/>
    <w:rsid w:val="5B844DDF"/>
    <w:rsid w:val="5B9757C7"/>
    <w:rsid w:val="5BD87229"/>
    <w:rsid w:val="5BF46B51"/>
    <w:rsid w:val="5C464E4E"/>
    <w:rsid w:val="5C47767B"/>
    <w:rsid w:val="5C911CAA"/>
    <w:rsid w:val="5CC72C7C"/>
    <w:rsid w:val="5D031B79"/>
    <w:rsid w:val="5DAB0D44"/>
    <w:rsid w:val="5E807869"/>
    <w:rsid w:val="5EB12FFC"/>
    <w:rsid w:val="5EC119C1"/>
    <w:rsid w:val="5ECD3880"/>
    <w:rsid w:val="5EF13F01"/>
    <w:rsid w:val="5FCF4505"/>
    <w:rsid w:val="60810646"/>
    <w:rsid w:val="60861653"/>
    <w:rsid w:val="60A001E1"/>
    <w:rsid w:val="61533F93"/>
    <w:rsid w:val="61CC3282"/>
    <w:rsid w:val="62B138A5"/>
    <w:rsid w:val="62FF41BC"/>
    <w:rsid w:val="63997350"/>
    <w:rsid w:val="649E5A54"/>
    <w:rsid w:val="64B37927"/>
    <w:rsid w:val="64F5745B"/>
    <w:rsid w:val="65431E53"/>
    <w:rsid w:val="65465510"/>
    <w:rsid w:val="6550747D"/>
    <w:rsid w:val="656071F2"/>
    <w:rsid w:val="65E66B55"/>
    <w:rsid w:val="668A5953"/>
    <w:rsid w:val="66AB502F"/>
    <w:rsid w:val="67163E36"/>
    <w:rsid w:val="67294323"/>
    <w:rsid w:val="675737FA"/>
    <w:rsid w:val="67A46ABB"/>
    <w:rsid w:val="67A760D9"/>
    <w:rsid w:val="68141A48"/>
    <w:rsid w:val="68301DD3"/>
    <w:rsid w:val="683F17C8"/>
    <w:rsid w:val="68965AF7"/>
    <w:rsid w:val="68E935B2"/>
    <w:rsid w:val="68F071D2"/>
    <w:rsid w:val="69226B8E"/>
    <w:rsid w:val="6970145B"/>
    <w:rsid w:val="697650C9"/>
    <w:rsid w:val="6990449C"/>
    <w:rsid w:val="6A117840"/>
    <w:rsid w:val="6A3D62B1"/>
    <w:rsid w:val="6AC22C39"/>
    <w:rsid w:val="6B5651CD"/>
    <w:rsid w:val="6B7071C5"/>
    <w:rsid w:val="6BF1756B"/>
    <w:rsid w:val="6C4770EF"/>
    <w:rsid w:val="6CC17A4F"/>
    <w:rsid w:val="6D920313"/>
    <w:rsid w:val="6DE0371D"/>
    <w:rsid w:val="6E0773DE"/>
    <w:rsid w:val="6E4E28CC"/>
    <w:rsid w:val="6E620CF2"/>
    <w:rsid w:val="6EC45659"/>
    <w:rsid w:val="6F02350A"/>
    <w:rsid w:val="6F56616E"/>
    <w:rsid w:val="6F5E1AA3"/>
    <w:rsid w:val="6F8D5764"/>
    <w:rsid w:val="6FC0465E"/>
    <w:rsid w:val="6FC63036"/>
    <w:rsid w:val="701075FD"/>
    <w:rsid w:val="702A415B"/>
    <w:rsid w:val="70956DCB"/>
    <w:rsid w:val="70AD31F0"/>
    <w:rsid w:val="71062065"/>
    <w:rsid w:val="71E830CF"/>
    <w:rsid w:val="72310225"/>
    <w:rsid w:val="726C339B"/>
    <w:rsid w:val="741F01E3"/>
    <w:rsid w:val="743201A6"/>
    <w:rsid w:val="74C645ED"/>
    <w:rsid w:val="75E10FF1"/>
    <w:rsid w:val="763F556D"/>
    <w:rsid w:val="76434FBA"/>
    <w:rsid w:val="76570E0B"/>
    <w:rsid w:val="769A4E05"/>
    <w:rsid w:val="76D8191F"/>
    <w:rsid w:val="7772178F"/>
    <w:rsid w:val="78333936"/>
    <w:rsid w:val="7912435D"/>
    <w:rsid w:val="7A362281"/>
    <w:rsid w:val="7A535075"/>
    <w:rsid w:val="7AAD1812"/>
    <w:rsid w:val="7AE1632D"/>
    <w:rsid w:val="7B2A25EA"/>
    <w:rsid w:val="7B5A04B1"/>
    <w:rsid w:val="7C092C45"/>
    <w:rsid w:val="7C413FFF"/>
    <w:rsid w:val="7C5764FD"/>
    <w:rsid w:val="7C723EE6"/>
    <w:rsid w:val="7C734CF6"/>
    <w:rsid w:val="7DD83F74"/>
    <w:rsid w:val="7E350E9E"/>
    <w:rsid w:val="7EA70AA9"/>
    <w:rsid w:val="7F200B83"/>
    <w:rsid w:val="7F5D585A"/>
    <w:rsid w:val="7FCA0E68"/>
    <w:rsid w:val="7FD23705"/>
    <w:rsid w:val="B2B9170E"/>
    <w:rsid w:val="FFBD73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character" w:customStyle="1" w:styleId="14">
    <w:name w:val="font01"/>
    <w:basedOn w:val="8"/>
    <w:qFormat/>
    <w:uiPriority w:val="0"/>
    <w:rPr>
      <w:rFonts w:hint="eastAsia" w:ascii="宋体" w:hAnsi="宋体" w:eastAsia="宋体" w:cs="宋体"/>
      <w:color w:val="000000"/>
      <w:sz w:val="24"/>
      <w:szCs w:val="24"/>
      <w:u w:val="none"/>
    </w:rPr>
  </w:style>
  <w:style w:type="character" w:customStyle="1" w:styleId="15">
    <w:name w:val="font21"/>
    <w:basedOn w:val="8"/>
    <w:qFormat/>
    <w:uiPriority w:val="0"/>
    <w:rPr>
      <w:rFonts w:hint="default" w:ascii="Calibri" w:hAnsi="Calibri" w:cs="Calibri"/>
      <w:color w:val="000000"/>
      <w:sz w:val="24"/>
      <w:szCs w:val="24"/>
      <w:u w:val="none"/>
    </w:rPr>
  </w:style>
  <w:style w:type="character" w:customStyle="1" w:styleId="16">
    <w:name w:val="font11"/>
    <w:basedOn w:val="8"/>
    <w:qFormat/>
    <w:uiPriority w:val="0"/>
    <w:rPr>
      <w:rFonts w:hint="default" w:ascii="Calibri" w:hAnsi="Calibri" w:cs="Calibri"/>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57</Words>
  <Characters>328</Characters>
  <Lines>2</Lines>
  <Paragraphs>1</Paragraphs>
  <TotalTime>1</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2024-10-11T19:39:05Z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