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b/>
          <w:sz w:val="44"/>
          <w:szCs w:val="44"/>
        </w:rPr>
      </w:pPr>
      <w:r>
        <w:rPr>
          <w:rFonts w:hint="eastAsia" w:ascii="黑体" w:hAnsi="黑体" w:eastAsia="黑体"/>
          <w:b/>
          <w:sz w:val="44"/>
          <w:szCs w:val="44"/>
        </w:rPr>
        <w:t>民丰县烟草制品零售点合理布局规划</w:t>
      </w:r>
    </w:p>
    <w:p>
      <w:pPr>
        <w:spacing w:line="520" w:lineRule="exact"/>
        <w:jc w:val="center"/>
        <w:rPr>
          <w:rFonts w:ascii="黑体" w:hAnsi="黑体" w:eastAsia="黑体"/>
          <w:b/>
          <w:sz w:val="44"/>
          <w:szCs w:val="44"/>
        </w:rPr>
      </w:pPr>
      <w:r>
        <w:rPr>
          <w:rFonts w:hint="eastAsia" w:ascii="黑体" w:hAnsi="黑体" w:eastAsia="黑体"/>
          <w:b/>
          <w:sz w:val="44"/>
          <w:szCs w:val="44"/>
        </w:rPr>
        <w:t>（修订）</w:t>
      </w:r>
    </w:p>
    <w:p>
      <w:pPr>
        <w:spacing w:line="520" w:lineRule="exact"/>
        <w:ind w:firstLine="184" w:firstLineChars="200"/>
        <w:jc w:val="center"/>
        <w:rPr>
          <w:rFonts w:asciiTheme="minorEastAsia" w:hAnsiTheme="minorEastAsia" w:eastAsiaTheme="minorEastAsia"/>
          <w:b/>
          <w:sz w:val="10"/>
          <w:szCs w:val="10"/>
        </w:rPr>
      </w:pP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第一条　</w:t>
      </w:r>
      <w:r>
        <w:rPr>
          <w:rFonts w:hint="eastAsia" w:ascii="仿宋_GB2312" w:hAnsi="宋体" w:eastAsia="仿宋_GB2312"/>
          <w:szCs w:val="32"/>
        </w:rPr>
        <w:t>为加强烟草专卖零售许可证管理，规范烟草制品零售市场经营秩序，切实维护国家、消费者、卷烟零售户和未成年人的合法权益，根据《中华人民共和国行政许可法》《中华人民共和国未成年人保护法》《中华人民共和国烟草专卖法》《中华人民共和国烟草专卖法实施条例》《烟草专卖许可证管理办法》和《烟草专卖许可证管理办法实施细则》，结合民丰县实际，制定本规划。</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 xml:space="preserve">第二条  </w:t>
      </w:r>
      <w:r>
        <w:rPr>
          <w:rFonts w:hint="eastAsia" w:ascii="仿宋_GB2312" w:eastAsia="仿宋_GB2312" w:hAnsiTheme="minorEastAsia"/>
          <w:szCs w:val="32"/>
        </w:rPr>
        <w:t>公民、法人或其他组织在民丰县行政区域内申领烟草专卖零售许可证的适用于本规划。</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第三条</w:t>
      </w:r>
      <w:r>
        <w:rPr>
          <w:rFonts w:hint="eastAsia" w:ascii="仿宋_GB2312" w:eastAsia="仿宋_GB2312" w:hAnsiTheme="minorEastAsia"/>
          <w:szCs w:val="32"/>
        </w:rPr>
        <w:t xml:space="preserve">  民丰县烟草专卖局负责民丰县行政区域内的烟草制品零售点（以下简称零售点）合理布局。</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第四条</w:t>
      </w:r>
      <w:r>
        <w:rPr>
          <w:rFonts w:hint="eastAsia" w:ascii="仿宋_GB2312" w:eastAsia="仿宋_GB2312" w:hAnsiTheme="minorEastAsia"/>
          <w:szCs w:val="32"/>
        </w:rPr>
        <w:t xml:space="preserve">  本规划所称零售点是指经申请人依法取得烟草专卖零售许可证从事烟草制品零售业务的经营场所。</w:t>
      </w:r>
    </w:p>
    <w:p>
      <w:pPr>
        <w:spacing w:line="520" w:lineRule="exact"/>
        <w:ind w:firstLine="624" w:firstLineChars="200"/>
        <w:rPr>
          <w:rFonts w:ascii="仿宋_GB2312" w:hAnsi="仿宋_GB2312" w:eastAsia="仿宋_GB2312" w:cs="仿宋_GB2312"/>
          <w:szCs w:val="32"/>
        </w:rPr>
      </w:pPr>
      <w:r>
        <w:rPr>
          <w:rFonts w:hint="eastAsia" w:ascii="仿宋_GB2312" w:eastAsia="仿宋_GB2312" w:hAnsiTheme="minorEastAsia"/>
          <w:b/>
          <w:szCs w:val="32"/>
        </w:rPr>
        <w:t>第五条　</w:t>
      </w:r>
      <w:r>
        <w:rPr>
          <w:rFonts w:hint="eastAsia" w:ascii="仿宋_GB2312" w:eastAsia="仿宋_GB2312" w:hAnsiTheme="minorEastAsia"/>
          <w:szCs w:val="32"/>
        </w:rPr>
        <w:t>本规</w:t>
      </w:r>
      <w:r>
        <w:rPr>
          <w:rFonts w:hint="eastAsia" w:ascii="仿宋_GB2312" w:hAnsi="仿宋_GB2312" w:eastAsia="仿宋_GB2312" w:cs="仿宋_GB2312"/>
          <w:szCs w:val="32"/>
        </w:rPr>
        <w:t>划根据辖区内人口数量、交通状况、经济发展水平、消费能力等因素，</w:t>
      </w:r>
      <w:r>
        <w:rPr>
          <w:rFonts w:hint="eastAsia" w:ascii="仿宋" w:hAnsi="仿宋" w:eastAsia="仿宋" w:cs="仿宋"/>
          <w:szCs w:val="32"/>
        </w:rPr>
        <w:t>量化分析与烟草制品零售相关的因素，组合运用数量、间距和其他符合当地实际、科学合理的布局模式</w:t>
      </w:r>
      <w:r>
        <w:rPr>
          <w:rFonts w:hint="eastAsia" w:ascii="仿宋_GB2312" w:hAnsi="仿宋_GB2312" w:eastAsia="仿宋_GB2312" w:cs="仿宋_GB2312"/>
          <w:szCs w:val="32"/>
        </w:rPr>
        <w:t>，对</w:t>
      </w:r>
      <w:r>
        <w:rPr>
          <w:rFonts w:hint="eastAsia" w:ascii="仿宋" w:hAnsi="仿宋" w:eastAsia="仿宋" w:cs="仿宋"/>
          <w:szCs w:val="32"/>
        </w:rPr>
        <w:t>城区（县城）、乡镇、</w:t>
      </w:r>
      <w:r>
        <w:rPr>
          <w:rFonts w:hint="eastAsia" w:ascii="仿宋" w:hAnsi="仿宋" w:eastAsia="仿宋" w:cs="仿宋"/>
          <w:bCs/>
          <w:szCs w:val="32"/>
        </w:rPr>
        <w:t>村组</w:t>
      </w:r>
      <w:r>
        <w:rPr>
          <w:rFonts w:hint="eastAsia" w:ascii="仿宋_GB2312" w:hAnsi="仿宋_GB2312" w:eastAsia="仿宋_GB2312" w:cs="仿宋_GB2312"/>
          <w:szCs w:val="32"/>
        </w:rPr>
        <w:t>零售点进行规划布局。</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第六条　</w:t>
      </w:r>
      <w:r>
        <w:rPr>
          <w:rFonts w:hint="eastAsia" w:ascii="仿宋_GB2312" w:eastAsia="仿宋_GB2312" w:hAnsiTheme="minorEastAsia"/>
          <w:szCs w:val="32"/>
        </w:rPr>
        <w:t xml:space="preserve">合理布局规划遵循以下原则： </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（一）坚持依法行政原则；</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（二）坚持科学规划原则；</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（三）坚持服务社会原则；</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（四）坚持均衡发展原则；</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（五）坚持信赖保护原则。</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第七条</w:t>
      </w:r>
      <w:r>
        <w:rPr>
          <w:rFonts w:hint="eastAsia" w:ascii="仿宋_GB2312" w:eastAsia="仿宋_GB2312" w:hAnsiTheme="minorEastAsia"/>
          <w:szCs w:val="32"/>
        </w:rPr>
        <w:t xml:space="preserve">  下列区域烟草制品零售点设置应当符合以下要求： </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（一）城区主要街道零售点间距不低于50米；</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（二）城区一般街道零售点间距不低于80米；</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（三）乡镇政府所在地，100米范围内不超过3个零售点，零售点间距不低于30米；</w:t>
      </w:r>
    </w:p>
    <w:p>
      <w:pPr>
        <w:spacing w:line="520" w:lineRule="exact"/>
        <w:ind w:firstLine="624" w:firstLineChars="200"/>
        <w:rPr>
          <w:rFonts w:ascii="仿宋_GB2312" w:eastAsia="仿宋_GB2312"/>
          <w:szCs w:val="32"/>
        </w:rPr>
      </w:pPr>
      <w:r>
        <w:rPr>
          <w:rFonts w:hint="eastAsia" w:ascii="仿宋_GB2312" w:eastAsia="仿宋_GB2312" w:hAnsiTheme="minorEastAsia"/>
          <w:szCs w:val="32"/>
        </w:rPr>
        <w:t>（四）行政村按照人数设置零售点，设置标准为每450人可设置1个零售点，每增加450人可增设1个零售点；不足450人的可设置1个零售点；</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（五）住宅小区内</w:t>
      </w:r>
      <w:r>
        <w:rPr>
          <w:rFonts w:hint="eastAsia" w:ascii="仿宋_GB2312" w:eastAsia="仿宋_GB2312"/>
          <w:szCs w:val="32"/>
        </w:rPr>
        <w:t>，不足150户的可设置1个零售点，</w:t>
      </w:r>
      <w:r>
        <w:rPr>
          <w:rFonts w:hint="eastAsia" w:ascii="仿宋_GB2312" w:eastAsia="仿宋_GB2312" w:hAnsiTheme="minorEastAsia"/>
          <w:szCs w:val="32"/>
        </w:rPr>
        <w:t>以150户为基数，</w:t>
      </w:r>
      <w:r>
        <w:rPr>
          <w:rFonts w:hint="eastAsia" w:ascii="仿宋_GB2312" w:eastAsia="仿宋_GB2312"/>
          <w:szCs w:val="32"/>
        </w:rPr>
        <w:t>每增加150户可增</w:t>
      </w:r>
      <w:r>
        <w:rPr>
          <w:rFonts w:hint="eastAsia" w:ascii="仿宋_GB2312" w:eastAsia="仿宋_GB2312" w:hAnsiTheme="minorEastAsia"/>
          <w:szCs w:val="32"/>
        </w:rPr>
        <w:t>设1个零售点</w:t>
      </w:r>
      <w:r>
        <w:rPr>
          <w:rFonts w:hint="eastAsia" w:ascii="仿宋_GB2312" w:eastAsia="仿宋_GB2312"/>
          <w:szCs w:val="32"/>
        </w:rPr>
        <w:t>，</w:t>
      </w:r>
      <w:r>
        <w:rPr>
          <w:rFonts w:hint="eastAsia" w:ascii="仿宋_GB2312" w:eastAsia="仿宋_GB2312" w:hAnsiTheme="minorEastAsia"/>
          <w:szCs w:val="32"/>
        </w:rPr>
        <w:t>最多不超过3个零售点；经营场所临街的，按所在街道零售点间距标准设置。小区内设置的零售点不作为小区外新设零售点的间距参照；</w:t>
      </w:r>
    </w:p>
    <w:p>
      <w:pPr>
        <w:ind w:firstLine="624" w:firstLineChars="200"/>
        <w:rPr>
          <w:rFonts w:ascii="仿宋" w:hAnsi="仿宋" w:eastAsia="仿宋" w:cs="仿宋"/>
          <w:szCs w:val="32"/>
        </w:rPr>
      </w:pPr>
      <w:r>
        <w:rPr>
          <w:rFonts w:hint="eastAsia" w:ascii="仿宋_GB2312" w:eastAsia="仿宋_GB2312" w:hAnsiTheme="minorEastAsia"/>
          <w:szCs w:val="32"/>
        </w:rPr>
        <w:t>（六）综合性商（农）贸市场或集贸区域，不足25间门面的可设置1个零售点，以25间门面为基数，每增加25间门面且间距不少于80米可增设1个零售点，最多不超过3个零售点；</w:t>
      </w:r>
      <w:r>
        <w:rPr>
          <w:rFonts w:hint="eastAsia" w:ascii="仿宋_GB2312" w:eastAsia="仿宋_GB2312" w:hAnsiTheme="minorEastAsia"/>
          <w:szCs w:val="32"/>
        </w:rPr>
        <w:br w:type="textWrapping"/>
      </w:r>
      <w:r>
        <w:rPr>
          <w:rFonts w:hint="eastAsia" w:ascii="仿宋_GB2312" w:eastAsia="仿宋_GB2312" w:hAnsiTheme="minorEastAsia"/>
          <w:szCs w:val="32"/>
        </w:rPr>
        <w:t xml:space="preserve">    （七）</w:t>
      </w:r>
      <w:r>
        <w:rPr>
          <w:rFonts w:hint="eastAsia" w:ascii="仿宋" w:hAnsi="仿宋" w:eastAsia="仿宋" w:cs="仿宋"/>
          <w:szCs w:val="32"/>
          <w:shd w:val="clear" w:color="auto" w:fill="FFFFFF"/>
        </w:rPr>
        <w:t>机场候机厅、汽车站和火车站候车室</w:t>
      </w:r>
      <w:r>
        <w:rPr>
          <w:rFonts w:hint="eastAsia" w:ascii="仿宋" w:hAnsi="仿宋" w:eastAsia="仿宋" w:cs="仿宋"/>
          <w:kern w:val="0"/>
          <w:szCs w:val="32"/>
        </w:rPr>
        <w:t>每处设置零售点不超过1个；</w:t>
      </w:r>
    </w:p>
    <w:p>
      <w:pPr>
        <w:spacing w:line="520" w:lineRule="exact"/>
        <w:ind w:firstLine="624" w:firstLineChars="200"/>
        <w:rPr>
          <w:rFonts w:ascii="仿宋_GB2312" w:eastAsia="仿宋_GB2312" w:hAnsiTheme="minorEastAsia"/>
          <w:szCs w:val="32"/>
        </w:rPr>
      </w:pPr>
      <w:r>
        <w:rPr>
          <w:rFonts w:hint="eastAsia" w:ascii="仿宋" w:hAnsi="仿宋" w:eastAsia="仿宋" w:cs="仿宋"/>
          <w:szCs w:val="32"/>
        </w:rPr>
        <w:t>（八）封闭式生产制造企业、独立工（矿）区、</w:t>
      </w:r>
      <w:r>
        <w:rPr>
          <w:rFonts w:hint="eastAsia" w:ascii="仿宋" w:hAnsi="仿宋" w:eastAsia="仿宋" w:cs="仿宋"/>
          <w:color w:val="000000" w:themeColor="text1"/>
          <w:szCs w:val="32"/>
        </w:rPr>
        <w:t>在建的工地等</w:t>
      </w:r>
      <w:r>
        <w:rPr>
          <w:rFonts w:hint="eastAsia" w:ascii="仿宋" w:hAnsi="仿宋" w:eastAsia="仿宋" w:cs="仿宋"/>
          <w:kern w:val="0"/>
          <w:szCs w:val="32"/>
        </w:rPr>
        <w:t>生活区200人以上的可设置1个零售点</w:t>
      </w:r>
      <w:r>
        <w:rPr>
          <w:rFonts w:hint="eastAsia" w:ascii="仿宋_GB2312" w:eastAsia="仿宋_GB2312" w:hAnsiTheme="minorEastAsia"/>
          <w:szCs w:val="32"/>
        </w:rPr>
        <w:t>。</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第八条　</w:t>
      </w:r>
      <w:r>
        <w:rPr>
          <w:rFonts w:hint="eastAsia" w:ascii="仿宋_GB2312" w:eastAsia="仿宋_GB2312" w:hAnsiTheme="minorEastAsia"/>
          <w:szCs w:val="32"/>
        </w:rPr>
        <w:t xml:space="preserve">下列情形按“一店一证”的原则设置零售点，不受间距限制，且不作为周边新设零售点的参照： </w:t>
      </w:r>
    </w:p>
    <w:p>
      <w:pPr>
        <w:spacing w:line="520" w:lineRule="exact"/>
        <w:ind w:firstLine="624" w:firstLineChars="200"/>
        <w:rPr>
          <w:rFonts w:ascii="仿宋_GB2312" w:eastAsia="仿宋" w:hAnsiTheme="minorEastAsia"/>
          <w:szCs w:val="32"/>
        </w:rPr>
      </w:pPr>
      <w:r>
        <w:rPr>
          <w:rFonts w:hint="eastAsia" w:ascii="仿宋_GB2312" w:eastAsia="仿宋_GB2312" w:hAnsiTheme="minorEastAsia"/>
          <w:szCs w:val="32"/>
        </w:rPr>
        <w:t>（一）</w:t>
      </w:r>
      <w:r>
        <w:rPr>
          <w:rFonts w:hint="eastAsia" w:ascii="仿宋" w:hAnsi="仿宋" w:eastAsia="仿宋" w:cs="仿宋"/>
          <w:szCs w:val="32"/>
          <w:shd w:val="clear" w:color="auto" w:fill="FFFFFF"/>
        </w:rPr>
        <w:t>军事单位、</w:t>
      </w:r>
      <w:r>
        <w:rPr>
          <w:rFonts w:hint="eastAsia" w:ascii="仿宋" w:hAnsi="仿宋" w:eastAsia="仿宋" w:cs="仿宋"/>
          <w:szCs w:val="32"/>
        </w:rPr>
        <w:t>监狱、</w:t>
      </w:r>
      <w:r>
        <w:rPr>
          <w:rFonts w:hint="eastAsia" w:ascii="仿宋" w:hAnsi="仿宋" w:eastAsia="仿宋" w:cs="仿宋"/>
          <w:szCs w:val="32"/>
          <w:shd w:val="clear" w:color="auto" w:fill="FFFFFF"/>
        </w:rPr>
        <w:t>拘留所、</w:t>
      </w:r>
      <w:r>
        <w:rPr>
          <w:rFonts w:hint="eastAsia" w:ascii="仿宋" w:hAnsi="仿宋" w:eastAsia="仿宋" w:cs="仿宋"/>
          <w:szCs w:val="32"/>
        </w:rPr>
        <w:t>看守所、戒毒所等的生活居住区；</w:t>
      </w:r>
    </w:p>
    <w:p>
      <w:pPr>
        <w:ind w:firstLine="624" w:firstLineChars="200"/>
        <w:rPr>
          <w:rFonts w:ascii="仿宋_GB2312" w:eastAsia="仿宋" w:hAnsiTheme="minorEastAsia"/>
          <w:szCs w:val="32"/>
        </w:rPr>
      </w:pPr>
      <w:r>
        <w:rPr>
          <w:rFonts w:hint="eastAsia" w:ascii="仿宋_GB2312" w:eastAsia="仿宋_GB2312" w:hAnsiTheme="minorEastAsia"/>
          <w:szCs w:val="32"/>
        </w:rPr>
        <w:t>（二）</w:t>
      </w:r>
      <w:r>
        <w:rPr>
          <w:rFonts w:hint="eastAsia" w:ascii="仿宋" w:hAnsi="仿宋" w:eastAsia="仿宋" w:cs="仿宋"/>
          <w:szCs w:val="32"/>
        </w:rPr>
        <w:t>高速公路服务区具备安全保障措施的加油（气）站便利店；</w:t>
      </w:r>
    </w:p>
    <w:p>
      <w:pPr>
        <w:ind w:firstLine="624" w:firstLineChars="200"/>
        <w:rPr>
          <w:rFonts w:ascii="仿宋" w:hAnsi="仿宋" w:eastAsia="仿宋" w:cs="仿宋"/>
          <w:szCs w:val="32"/>
          <w:shd w:val="clear" w:color="auto" w:fill="FFFFFF"/>
        </w:rPr>
      </w:pPr>
      <w:r>
        <w:rPr>
          <w:rFonts w:hint="eastAsia" w:ascii="仿宋_GB2312" w:eastAsia="仿宋_GB2312" w:hAnsiTheme="minorEastAsia"/>
          <w:szCs w:val="32"/>
        </w:rPr>
        <w:t>（三）</w:t>
      </w:r>
      <w:r>
        <w:rPr>
          <w:rFonts w:hint="eastAsia" w:ascii="仿宋" w:hAnsi="仿宋" w:eastAsia="仿宋" w:cs="仿宋"/>
          <w:szCs w:val="32"/>
          <w:shd w:val="clear" w:color="auto" w:fill="FFFFFF"/>
        </w:rPr>
        <w:t>旅游景点内</w:t>
      </w:r>
      <w:r>
        <w:rPr>
          <w:rFonts w:hint="eastAsia" w:ascii="仿宋" w:hAnsi="仿宋" w:eastAsia="仿宋" w:cs="仿宋"/>
          <w:szCs w:val="32"/>
        </w:rPr>
        <w:t>提供问询、餐饮、日杂商品售卖等服务的游客服务中心</w:t>
      </w:r>
      <w:r>
        <w:rPr>
          <w:rFonts w:hint="eastAsia" w:ascii="仿宋" w:hAnsi="仿宋" w:eastAsia="仿宋" w:cs="仿宋"/>
          <w:szCs w:val="32"/>
          <w:shd w:val="clear" w:color="auto" w:fill="FFFFFF"/>
        </w:rPr>
        <w:t>。</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第九条　</w:t>
      </w:r>
      <w:r>
        <w:rPr>
          <w:rFonts w:hint="eastAsia" w:ascii="仿宋_GB2312" w:eastAsia="仿宋_GB2312" w:hAnsiTheme="minorEastAsia"/>
          <w:szCs w:val="32"/>
        </w:rPr>
        <w:t xml:space="preserve">具有下列情形之一的，可以视当地实际在数量、间距等方面，在第七条的基础上放宽50%，但许可证数量达到上限的除外： </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（一）残疾人（五级以上）、低保户等社会弱势群体、军烈属、优抚对象，本人首次申请烟草专卖零售许可证的；</w:t>
      </w:r>
    </w:p>
    <w:p>
      <w:pPr>
        <w:ind w:firstLine="645"/>
        <w:rPr>
          <w:rFonts w:ascii="仿宋_GB2312" w:eastAsia="仿宋_GB2312" w:hAnsiTheme="minorEastAsia"/>
          <w:color w:val="000000" w:themeColor="text1"/>
          <w:szCs w:val="32"/>
        </w:rPr>
      </w:pPr>
      <w:r>
        <w:rPr>
          <w:rFonts w:hint="eastAsia" w:ascii="仿宋_GB2312" w:eastAsia="仿宋_GB2312" w:hAnsiTheme="minorEastAsia"/>
          <w:szCs w:val="32"/>
        </w:rPr>
        <w:t>（二）</w:t>
      </w:r>
      <w:r>
        <w:rPr>
          <w:rFonts w:hint="eastAsia" w:ascii="仿宋_GB2312" w:eastAsia="仿宋_GB2312" w:hAnsiTheme="minorEastAsia"/>
          <w:color w:val="000000" w:themeColor="text1"/>
          <w:szCs w:val="32"/>
        </w:rPr>
        <w:t>因道路规划、城市建设、房屋征收或学校及幼儿园新建、扩（改）建等</w:t>
      </w:r>
      <w:r>
        <w:rPr>
          <w:rFonts w:hint="eastAsia" w:ascii="仿宋_GB2312" w:eastAsia="仿宋_GB2312"/>
          <w:szCs w:val="32"/>
        </w:rPr>
        <w:t>客观原因造成无法在核定经营地址经营，持证人申请变更到原发证机关辖区内其他地址经营的；</w:t>
      </w:r>
    </w:p>
    <w:p>
      <w:pPr>
        <w:ind w:firstLine="624" w:firstLineChars="200"/>
        <w:rPr>
          <w:rFonts w:ascii="仿宋" w:hAnsi="仿宋" w:eastAsia="仿宋" w:cs="仿宋"/>
          <w:color w:val="000000" w:themeColor="text1"/>
          <w:szCs w:val="32"/>
        </w:rPr>
      </w:pPr>
      <w:r>
        <w:rPr>
          <w:rFonts w:hint="eastAsia" w:ascii="仿宋_GB2312" w:eastAsia="仿宋_GB2312" w:hAnsiTheme="minorEastAsia"/>
          <w:szCs w:val="32"/>
        </w:rPr>
        <w:t>（三）</w:t>
      </w:r>
      <w:r>
        <w:rPr>
          <w:rFonts w:hint="eastAsia" w:ascii="仿宋" w:hAnsi="仿宋" w:eastAsia="仿宋" w:cs="仿宋"/>
          <w:color w:val="000000" w:themeColor="text1"/>
          <w:szCs w:val="32"/>
        </w:rPr>
        <w:t>营业面积在500平方米以上的大中型商场、超市、购物中心、品牌连锁经营便利店（连锁数量在50家以上的）；</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（四）</w:t>
      </w:r>
      <w:r>
        <w:rPr>
          <w:rFonts w:hint="eastAsia" w:ascii="仿宋" w:hAnsi="仿宋" w:eastAsia="仿宋" w:cs="仿宋"/>
          <w:szCs w:val="32"/>
        </w:rPr>
        <w:t>营业面积5000平方米以上的宾馆、酒店；</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（五）其他有政策扶持需要的情形。</w:t>
      </w:r>
    </w:p>
    <w:p>
      <w:pPr>
        <w:spacing w:line="520" w:lineRule="exact"/>
        <w:ind w:firstLine="624" w:firstLineChars="200"/>
        <w:rPr>
          <w:rFonts w:ascii="仿宋_GB2312" w:eastAsia="仿宋_GB2312" w:cs="仿宋_GB2312"/>
          <w:szCs w:val="32"/>
          <w:shd w:val="clear" w:color="auto" w:fill="FFFFFF"/>
        </w:rPr>
      </w:pPr>
      <w:r>
        <w:rPr>
          <w:rFonts w:hint="eastAsia" w:ascii="仿宋_GB2312" w:eastAsia="仿宋_GB2312" w:hAnsiTheme="minorEastAsia"/>
          <w:szCs w:val="32"/>
        </w:rPr>
        <w:t>经营场所的安全要求和学校、幼儿园周围的限制规定等不得放宽。</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第十条</w:t>
      </w:r>
      <w:r>
        <w:rPr>
          <w:rFonts w:hint="eastAsia" w:ascii="仿宋_GB2312" w:eastAsia="仿宋_GB2312" w:hAnsiTheme="minorEastAsia"/>
          <w:szCs w:val="32"/>
        </w:rPr>
        <w:t xml:space="preserve"> 具有下列情形之一的，不予发放烟草专卖零售许可证： </w:t>
      </w:r>
    </w:p>
    <w:p>
      <w:pPr>
        <w:spacing w:line="520" w:lineRule="exact"/>
        <w:ind w:firstLine="624" w:firstLineChars="200"/>
        <w:rPr>
          <w:rFonts w:ascii="仿宋_GB2312" w:hAnsi="仿宋" w:eastAsia="仿宋_GB2312"/>
          <w:szCs w:val="32"/>
        </w:rPr>
      </w:pPr>
      <w:r>
        <w:rPr>
          <w:rFonts w:hint="eastAsia" w:ascii="仿宋_GB2312" w:hAnsi="仿宋" w:eastAsia="仿宋_GB2312"/>
          <w:szCs w:val="32"/>
        </w:rPr>
        <w:t>（一）申请主体资格方面</w:t>
      </w:r>
    </w:p>
    <w:p>
      <w:pPr>
        <w:spacing w:line="520" w:lineRule="exact"/>
        <w:ind w:firstLine="624" w:firstLineChars="200"/>
        <w:rPr>
          <w:rFonts w:ascii="仿宋_GB2312" w:hAnsi="仿宋" w:eastAsia="仿宋_GB2312"/>
          <w:szCs w:val="32"/>
        </w:rPr>
      </w:pPr>
      <w:r>
        <w:rPr>
          <w:rFonts w:hint="eastAsia" w:ascii="仿宋_GB2312" w:hAnsi="仿宋" w:eastAsia="仿宋_GB2312"/>
          <w:szCs w:val="32"/>
        </w:rPr>
        <w:t>1.</w:t>
      </w:r>
      <w:r>
        <w:rPr>
          <w:rFonts w:hint="eastAsia" w:ascii="仿宋_GB2312" w:hAnsi="宋体" w:eastAsia="仿宋_GB2312"/>
          <w:szCs w:val="32"/>
        </w:rPr>
        <w:t>申请人为未成年人、无民事行为能力及限制民事行为能力</w:t>
      </w:r>
      <w:r>
        <w:rPr>
          <w:rFonts w:hint="eastAsia" w:ascii="仿宋_GB2312" w:hAnsi="仿宋" w:eastAsia="仿宋_GB2312"/>
          <w:szCs w:val="32"/>
        </w:rPr>
        <w:t>人；</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2.外商投资的商业企业或者个体工商户，或以特许、吸纳加盟店及其他再投资等形式变相从事烟草制品零售业务的；</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3.取消从事烟草专卖业务资格不满三年的；</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4.因申请人隐瞒有关情况或者提供虚假材料，烟草专卖局作出不予受理或者不予发证决定后，申请人一年内再次提出申请的；</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5.因申请人以欺骗、贿赂等不正当手段取得的烟草专卖许可证被撤销后，申请人三年内再次提出申请的；</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6.未领取烟草专卖零售许可证经营烟草专卖品业务，并且一年内被执法机关处罚两次以上，在三年内申请领取烟草专卖零售许可证的；</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7.未领取烟草专卖零售许可证经营烟草专卖品业务被追究刑事责任，在三年内申请领取烟草专卖零售许可证的。</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（二）经营场所方面</w:t>
      </w:r>
    </w:p>
    <w:p>
      <w:pPr>
        <w:spacing w:line="520" w:lineRule="exact"/>
        <w:ind w:firstLine="624" w:firstLineChars="200"/>
        <w:rPr>
          <w:rFonts w:ascii="仿宋_GB2312" w:eastAsia="仿宋" w:hAnsiTheme="minorEastAsia"/>
          <w:szCs w:val="32"/>
        </w:rPr>
      </w:pPr>
      <w:r>
        <w:rPr>
          <w:rFonts w:hint="eastAsia" w:ascii="仿宋_GB2312" w:hAnsi="宋体" w:eastAsia="仿宋_GB2312"/>
          <w:szCs w:val="32"/>
        </w:rPr>
        <w:t>1.</w:t>
      </w:r>
      <w:r>
        <w:rPr>
          <w:rFonts w:hint="eastAsia" w:ascii="仿宋" w:hAnsi="仿宋" w:eastAsia="仿宋" w:cs="仿宋"/>
          <w:szCs w:val="32"/>
        </w:rPr>
        <w:t>党政机关办公场所、办公楼宇内；</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2.同一经营场所已经办理了烟草专卖零售许可证且许可证在有效期内的；</w:t>
      </w:r>
    </w:p>
    <w:p>
      <w:pPr>
        <w:spacing w:line="520" w:lineRule="exact"/>
        <w:ind w:firstLine="624" w:firstLineChars="200"/>
        <w:rPr>
          <w:rFonts w:ascii="仿宋_GB2312" w:eastAsia="仿宋" w:hAnsiTheme="minorEastAsia"/>
          <w:szCs w:val="32"/>
        </w:rPr>
      </w:pPr>
      <w:r>
        <w:rPr>
          <w:rFonts w:hint="eastAsia" w:ascii="仿宋_GB2312" w:eastAsia="仿宋_GB2312" w:hAnsiTheme="minorEastAsia"/>
          <w:szCs w:val="32"/>
        </w:rPr>
        <w:t>3.</w:t>
      </w:r>
      <w:r>
        <w:rPr>
          <w:rFonts w:hint="eastAsia" w:ascii="仿宋" w:hAnsi="仿宋" w:eastAsia="仿宋" w:cs="仿宋"/>
          <w:szCs w:val="32"/>
        </w:rPr>
        <w:t>青少年宫等未成年人聚集场所；</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4.经营场所因政府规划待拆迁或征用，使用期限不足一年的；</w:t>
      </w:r>
    </w:p>
    <w:p>
      <w:pPr>
        <w:spacing w:line="520" w:lineRule="exact"/>
        <w:ind w:firstLine="624" w:firstLineChars="200"/>
        <w:rPr>
          <w:rFonts w:ascii="仿宋_GB2312" w:eastAsia="仿宋" w:hAnsiTheme="minorEastAsia"/>
          <w:szCs w:val="32"/>
        </w:rPr>
      </w:pPr>
      <w:r>
        <w:rPr>
          <w:rFonts w:hint="eastAsia" w:ascii="仿宋_GB2312" w:eastAsia="仿宋_GB2312" w:hAnsiTheme="minorEastAsia"/>
          <w:szCs w:val="32"/>
        </w:rPr>
        <w:t>5.</w:t>
      </w:r>
      <w:r>
        <w:rPr>
          <w:rFonts w:hint="eastAsia" w:ascii="仿宋" w:hAnsi="仿宋" w:eastAsia="仿宋" w:cs="仿宋"/>
          <w:szCs w:val="32"/>
        </w:rPr>
        <w:t>政府明令禁止经营烟草制品的区域；</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6.</w:t>
      </w:r>
      <w:r>
        <w:rPr>
          <w:rFonts w:hint="eastAsia" w:ascii="仿宋_GB2312" w:hAnsi="宋体" w:eastAsia="仿宋_GB2312"/>
          <w:szCs w:val="32"/>
        </w:rPr>
        <w:t>住宅小区除平层全开放式门店外的其他场所；</w:t>
      </w:r>
    </w:p>
    <w:p>
      <w:pPr>
        <w:spacing w:line="520" w:lineRule="exact"/>
        <w:ind w:firstLine="624" w:firstLineChars="200"/>
        <w:rPr>
          <w:rFonts w:ascii="仿宋_GB2312" w:hAnsi="宋体" w:eastAsia="仿宋_GB2312"/>
          <w:szCs w:val="32"/>
        </w:rPr>
      </w:pPr>
      <w:r>
        <w:rPr>
          <w:rFonts w:hint="eastAsia" w:ascii="仿宋_GB2312" w:eastAsia="仿宋_GB2312" w:hAnsiTheme="minorEastAsia"/>
          <w:szCs w:val="32"/>
        </w:rPr>
        <w:t>7.</w:t>
      </w:r>
      <w:r>
        <w:rPr>
          <w:rFonts w:hint="eastAsia" w:ascii="仿宋_GB2312" w:hAnsi="宋体" w:eastAsia="仿宋_GB2312"/>
          <w:szCs w:val="32"/>
        </w:rPr>
        <w:t>未形成食杂店、便利店、超市、商场、烟酒商店、娱乐服务场所等实际商品展卖场所的商用楼宇内</w:t>
      </w:r>
      <w:r>
        <w:rPr>
          <w:rFonts w:hint="eastAsia" w:ascii="仿宋_GB2312" w:eastAsia="仿宋_GB2312" w:hAnsiTheme="minorEastAsia"/>
          <w:szCs w:val="32"/>
        </w:rPr>
        <w:t>。</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8.经营场所基于安全因素不适宜经营卷烟，有下列情形之一的：</w:t>
      </w:r>
    </w:p>
    <w:p>
      <w:pPr>
        <w:ind w:firstLine="624" w:firstLineChars="200"/>
        <w:rPr>
          <w:rFonts w:ascii="仿宋" w:hAnsi="仿宋" w:eastAsia="仿宋" w:cs="仿宋"/>
          <w:szCs w:val="32"/>
        </w:rPr>
      </w:pPr>
      <w:r>
        <w:rPr>
          <w:rFonts w:hint="eastAsia" w:ascii="仿宋" w:hAnsi="仿宋" w:eastAsia="仿宋" w:cs="仿宋"/>
          <w:szCs w:val="32"/>
        </w:rPr>
        <w:t>（1）经营场所基于安全因素不适宜经营卷烟或不符合控烟管理规定的，包括但不限于经营化工原料及产品、液化石油气、建材装潢、废品回收、烟花爆竹、祭祀用品等；</w:t>
      </w:r>
    </w:p>
    <w:p>
      <w:pPr>
        <w:ind w:firstLine="624" w:firstLineChars="200"/>
        <w:rPr>
          <w:rFonts w:ascii="仿宋" w:hAnsi="仿宋" w:eastAsia="仿宋" w:cs="仿宋"/>
          <w:szCs w:val="32"/>
        </w:rPr>
      </w:pPr>
      <w:r>
        <w:rPr>
          <w:rFonts w:hint="eastAsia" w:ascii="仿宋" w:hAnsi="仿宋" w:eastAsia="仿宋" w:cs="仿宋"/>
          <w:szCs w:val="32"/>
        </w:rPr>
        <w:t>（2）容易造成污染或异味影响卷烟品质的，生产、销售、存储、运输有毒有害及容易造成烟草制品污染的经营场所。</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（三）经营模式方面</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1.无人售货超市；</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2.利用自动售货机或者其他自动售货形式，销售或变相销售烟草制品的；</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3.利用信息网络渠道经营烟草制品的。</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szCs w:val="32"/>
        </w:rPr>
        <w:t>（四）特殊区域</w:t>
      </w:r>
    </w:p>
    <w:p>
      <w:pPr>
        <w:ind w:firstLine="624" w:firstLineChars="200"/>
        <w:rPr>
          <w:rFonts w:ascii="仿宋_GB2312" w:hAnsi="宋体" w:eastAsia="仿宋"/>
          <w:szCs w:val="32"/>
        </w:rPr>
      </w:pPr>
      <w:r>
        <w:rPr>
          <w:rFonts w:hint="eastAsia" w:ascii="仿宋_GB2312" w:eastAsia="仿宋_GB2312" w:hAnsiTheme="minorEastAsia"/>
          <w:szCs w:val="32"/>
        </w:rPr>
        <w:t>1.</w:t>
      </w:r>
      <w:r>
        <w:rPr>
          <w:rFonts w:hint="eastAsia" w:ascii="仿宋" w:hAnsi="仿宋" w:eastAsia="仿宋" w:cs="仿宋"/>
          <w:szCs w:val="32"/>
        </w:rPr>
        <w:t>经营场所位于城区（县城）及乡镇学校、幼儿园内部及校园出入口距离100米（含）范围内的；行政村学校、幼儿园内部及校园出入口距离50米（含）范围内的；</w:t>
      </w:r>
    </w:p>
    <w:p>
      <w:pPr>
        <w:spacing w:line="520" w:lineRule="exact"/>
        <w:ind w:firstLine="624" w:firstLineChars="200"/>
        <w:rPr>
          <w:rFonts w:ascii="仿宋_GB2312" w:eastAsia="仿宋_GB2312"/>
          <w:szCs w:val="32"/>
        </w:rPr>
      </w:pPr>
      <w:r>
        <w:rPr>
          <w:rFonts w:hint="eastAsia" w:ascii="仿宋_GB2312" w:eastAsia="仿宋_GB2312"/>
          <w:szCs w:val="32"/>
        </w:rPr>
        <w:t>2.法律、法规、规章及有关规定明确的不予设置烟草制品零售点的其他情形。</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第十一条</w:t>
      </w:r>
      <w:r>
        <w:rPr>
          <w:rFonts w:hint="eastAsia" w:ascii="仿宋_GB2312" w:eastAsia="仿宋_GB2312" w:hAnsiTheme="minorEastAsia"/>
          <w:szCs w:val="32"/>
        </w:rPr>
        <w:t>　</w:t>
      </w:r>
      <w:r>
        <w:rPr>
          <w:rFonts w:hint="eastAsia" w:ascii="仿宋" w:hAnsi="仿宋" w:eastAsia="仿宋" w:cs="仿宋"/>
          <w:color w:val="000000" w:themeColor="text1"/>
          <w:szCs w:val="32"/>
        </w:rPr>
        <w:t>零售点间距是指申请人拟从事烟草制品零售业务的经营场所与烟草制品零售点之间最近点的距离。</w:t>
      </w:r>
    </w:p>
    <w:p>
      <w:pPr>
        <w:spacing w:line="520" w:lineRule="exact"/>
        <w:ind w:firstLine="624" w:firstLineChars="200"/>
        <w:rPr>
          <w:rFonts w:ascii="仿宋_GB2312" w:eastAsia="仿宋_GB2312"/>
          <w:szCs w:val="32"/>
        </w:rPr>
      </w:pPr>
      <w:r>
        <w:rPr>
          <w:rFonts w:hint="eastAsia" w:ascii="仿宋_GB2312" w:eastAsia="仿宋_GB2312" w:hAnsiTheme="minorEastAsia"/>
          <w:b/>
          <w:szCs w:val="32"/>
        </w:rPr>
        <w:t>第十二条　</w:t>
      </w:r>
      <w:r>
        <w:rPr>
          <w:rFonts w:hint="eastAsia" w:ascii="仿宋" w:hAnsi="仿宋" w:eastAsia="仿宋" w:cs="仿宋"/>
          <w:szCs w:val="32"/>
        </w:rPr>
        <w:t>学校、幼儿园校园出入口距离是指申请人门店出入口至学校、幼儿园出入口的直线距离。</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第十三条　</w:t>
      </w:r>
      <w:r>
        <w:rPr>
          <w:rFonts w:hint="eastAsia" w:ascii="仿宋_GB2312" w:eastAsia="仿宋_GB2312" w:hAnsiTheme="minorEastAsia"/>
          <w:szCs w:val="32"/>
        </w:rPr>
        <w:t>本规划实施过程中，法律、法规、规章对烟草制品零售点合理布局另有规定的，从其规定。</w:t>
      </w:r>
    </w:p>
    <w:p>
      <w:pPr>
        <w:ind w:firstLine="624" w:firstLineChars="200"/>
        <w:rPr>
          <w:rFonts w:ascii="仿宋_GB2312" w:eastAsia="仿宋_GB2312" w:hAnsiTheme="minorEastAsia"/>
          <w:bCs/>
          <w:szCs w:val="32"/>
        </w:rPr>
      </w:pPr>
      <w:r>
        <w:rPr>
          <w:rFonts w:hint="eastAsia" w:ascii="仿宋_GB2312" w:eastAsia="仿宋_GB2312" w:hAnsiTheme="minorEastAsia"/>
          <w:b/>
          <w:szCs w:val="32"/>
        </w:rPr>
        <w:t>第十四条　</w:t>
      </w:r>
      <w:r>
        <w:rPr>
          <w:rFonts w:hint="eastAsia" w:ascii="仿宋_GB2312" w:eastAsia="仿宋_GB2312" w:hAnsiTheme="minorEastAsia"/>
          <w:bCs/>
          <w:szCs w:val="32"/>
        </w:rPr>
        <w:t>本规定所称主要街道（主干道）、一般街道（次干道）参照合理布局规划条款说明执行，对未纳入主要街道（主干道）、一般街道（次干道），也不属于公路沿线或行政村的，参照一般街道的标准设置零售点。</w:t>
      </w:r>
    </w:p>
    <w:p>
      <w:pPr>
        <w:spacing w:line="520" w:lineRule="exact"/>
        <w:ind w:firstLine="624" w:firstLineChars="200"/>
        <w:rPr>
          <w:rFonts w:ascii="仿宋_GB2312" w:eastAsia="仿宋_GB2312" w:hAnsiTheme="minorEastAsia"/>
          <w:b/>
          <w:szCs w:val="32"/>
        </w:rPr>
      </w:pPr>
      <w:r>
        <w:rPr>
          <w:rFonts w:hint="eastAsia" w:ascii="仿宋_GB2312" w:eastAsia="仿宋_GB2312" w:hAnsiTheme="minorEastAsia"/>
          <w:b/>
          <w:szCs w:val="32"/>
        </w:rPr>
        <w:t>第十五条</w:t>
      </w:r>
      <w:r>
        <w:rPr>
          <w:rFonts w:hint="eastAsia" w:ascii="仿宋_GB2312" w:eastAsia="仿宋_GB2312" w:hAnsiTheme="minorEastAsia"/>
          <w:szCs w:val="32"/>
        </w:rPr>
        <w:t xml:space="preserve"> 本规划所称学校是指普通中小学、特殊教育学校、中等职业学校、专门学校。</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第十六条</w:t>
      </w:r>
      <w:r>
        <w:rPr>
          <w:rFonts w:hint="eastAsia" w:ascii="仿宋_GB2312" w:eastAsia="仿宋_GB2312" w:hAnsiTheme="minorEastAsia"/>
          <w:szCs w:val="32"/>
        </w:rPr>
        <w:t>　本规划所称的“</w:t>
      </w:r>
      <w:r>
        <w:rPr>
          <w:rFonts w:hint="eastAsia" w:ascii="仿宋" w:hAnsi="仿宋" w:eastAsia="仿宋" w:cs="仿宋"/>
          <w:kern w:val="0"/>
          <w:szCs w:val="32"/>
        </w:rPr>
        <w:t>以上”</w:t>
      </w:r>
      <w:r>
        <w:rPr>
          <w:rFonts w:hint="eastAsia" w:ascii="仿宋_GB2312" w:eastAsia="仿宋_GB2312" w:hAnsiTheme="minorEastAsia"/>
          <w:szCs w:val="32"/>
        </w:rPr>
        <w:t xml:space="preserve">“不低于”“不超过”均包含本数。 </w:t>
      </w:r>
    </w:p>
    <w:p>
      <w:pPr>
        <w:spacing w:line="520" w:lineRule="exact"/>
        <w:ind w:firstLine="624" w:firstLineChars="200"/>
        <w:rPr>
          <w:rFonts w:ascii="仿宋_GB2312" w:eastAsia="仿宋_GB2312" w:hAnsiTheme="minorEastAsia"/>
          <w:szCs w:val="32"/>
        </w:rPr>
      </w:pPr>
      <w:r>
        <w:rPr>
          <w:rFonts w:hint="eastAsia" w:ascii="仿宋_GB2312" w:eastAsia="仿宋_GB2312" w:hAnsiTheme="minorEastAsia"/>
          <w:b/>
          <w:szCs w:val="32"/>
        </w:rPr>
        <w:t>第十七条　</w:t>
      </w:r>
      <w:r>
        <w:rPr>
          <w:rFonts w:hint="eastAsia" w:ascii="仿宋_GB2312" w:eastAsia="仿宋_GB2312" w:hAnsiTheme="minorEastAsia"/>
          <w:szCs w:val="32"/>
        </w:rPr>
        <w:t>本规划由民丰县烟草专卖局负责解释。</w:t>
      </w:r>
    </w:p>
    <w:p>
      <w:pPr>
        <w:spacing w:line="520" w:lineRule="exact"/>
        <w:ind w:firstLine="624" w:firstLineChars="200"/>
        <w:rPr>
          <w:rFonts w:ascii="仿宋_GB2312" w:eastAsia="仿宋_GB2312"/>
          <w:szCs w:val="32"/>
        </w:rPr>
      </w:pPr>
      <w:r>
        <w:rPr>
          <w:rFonts w:hint="eastAsia" w:ascii="仿宋_GB2312" w:eastAsia="仿宋_GB2312" w:hAnsiTheme="minorEastAsia"/>
          <w:b/>
          <w:szCs w:val="32"/>
        </w:rPr>
        <w:t>第十八条</w:t>
      </w:r>
      <w:r>
        <w:rPr>
          <w:rFonts w:hint="eastAsia" w:ascii="仿宋_GB2312" w:eastAsia="仿宋_GB2312" w:hAnsiTheme="minorEastAsia"/>
          <w:szCs w:val="32"/>
        </w:rPr>
        <w:t xml:space="preserve"> 本规划自发布之日起实施。</w:t>
      </w:r>
      <w:r>
        <w:rPr>
          <w:rFonts w:hint="eastAsia" w:ascii="仿宋_GB2312" w:eastAsia="仿宋_GB2312"/>
          <w:szCs w:val="32"/>
        </w:rPr>
        <w:t>原2016年2月26日发布的《民丰县烟草制品零售点合理布局规划》同时废止。</w:t>
      </w:r>
    </w:p>
    <w:p>
      <w:pPr>
        <w:spacing w:line="520" w:lineRule="exact"/>
        <w:ind w:firstLine="624" w:firstLineChars="200"/>
        <w:rPr>
          <w:rFonts w:ascii="仿宋_GB2312" w:eastAsia="仿宋_GB2312"/>
          <w:szCs w:val="32"/>
        </w:rPr>
      </w:pPr>
    </w:p>
    <w:p>
      <w:pPr>
        <w:spacing w:line="520" w:lineRule="exact"/>
        <w:ind w:firstLine="4056" w:firstLineChars="1300"/>
        <w:rPr>
          <w:rFonts w:ascii="仿宋_GB2312" w:eastAsia="仿宋_GB2312" w:hAnsiTheme="minorEastAsia"/>
          <w:szCs w:val="32"/>
        </w:rPr>
      </w:pPr>
    </w:p>
    <w:p>
      <w:pPr>
        <w:spacing w:line="520" w:lineRule="exact"/>
        <w:ind w:firstLine="4056" w:firstLineChars="1300"/>
        <w:rPr>
          <w:rFonts w:ascii="仿宋_GB2312" w:eastAsia="仿宋_GB2312" w:hAnsiTheme="minorEastAsia"/>
          <w:szCs w:val="32"/>
        </w:rPr>
      </w:pPr>
    </w:p>
    <w:p>
      <w:pPr>
        <w:spacing w:line="520" w:lineRule="exact"/>
        <w:ind w:firstLine="4293" w:firstLineChars="1376"/>
        <w:rPr>
          <w:rFonts w:ascii="仿宋_GB2312" w:eastAsia="仿宋_GB2312" w:hAnsiTheme="minorEastAsia"/>
          <w:szCs w:val="32"/>
        </w:rPr>
      </w:pPr>
      <w:r>
        <w:rPr>
          <w:rFonts w:hint="eastAsia" w:ascii="仿宋_GB2312" w:eastAsia="仿宋_GB2312" w:hAnsiTheme="minorEastAsia"/>
          <w:szCs w:val="32"/>
        </w:rPr>
        <w:t>民丰县烟草专卖局</w:t>
      </w:r>
    </w:p>
    <w:p>
      <w:pPr>
        <w:spacing w:line="520" w:lineRule="exact"/>
        <w:ind w:firstLine="624" w:firstLineChars="200"/>
        <w:jc w:val="center"/>
        <w:rPr>
          <w:rFonts w:ascii="仿宋_GB2312" w:eastAsia="仿宋_GB2312" w:hAnsiTheme="minorEastAsia"/>
          <w:szCs w:val="32"/>
        </w:rPr>
      </w:pPr>
      <w:r>
        <w:rPr>
          <w:rFonts w:hint="eastAsia" w:ascii="仿宋_GB2312" w:eastAsia="仿宋_GB2312" w:hAnsiTheme="minorEastAsia"/>
          <w:szCs w:val="32"/>
        </w:rPr>
        <w:t xml:space="preserve">           2021年</w:t>
      </w:r>
      <w:r>
        <w:rPr>
          <w:rFonts w:hint="eastAsia" w:ascii="仿宋_GB2312" w:eastAsia="仿宋_GB2312" w:hAnsiTheme="minorEastAsia"/>
          <w:szCs w:val="32"/>
          <w:lang w:val="en-US" w:eastAsia="zh-CN"/>
        </w:rPr>
        <w:t>10</w:t>
      </w:r>
      <w:r>
        <w:rPr>
          <w:rFonts w:hint="eastAsia" w:ascii="仿宋_GB2312" w:eastAsia="仿宋_GB2312" w:hAnsiTheme="minorEastAsia"/>
          <w:szCs w:val="32"/>
        </w:rPr>
        <w:t>月2</w:t>
      </w:r>
      <w:r>
        <w:rPr>
          <w:rFonts w:hint="eastAsia" w:ascii="仿宋_GB2312" w:eastAsia="仿宋_GB2312" w:hAnsiTheme="minorEastAsia"/>
          <w:szCs w:val="32"/>
          <w:lang w:val="en-US" w:eastAsia="zh-CN"/>
        </w:rPr>
        <w:t>6</w:t>
      </w:r>
      <w:bookmarkStart w:id="0" w:name="_GoBack"/>
      <w:bookmarkEnd w:id="0"/>
      <w:r>
        <w:rPr>
          <w:rFonts w:hint="eastAsia" w:ascii="仿宋_GB2312" w:eastAsia="仿宋_GB2312" w:hAnsiTheme="minorEastAsia"/>
          <w:szCs w:val="32"/>
        </w:rPr>
        <w:t>日</w:t>
      </w:r>
    </w:p>
    <w:sectPr>
      <w:pgSz w:w="11906" w:h="16838"/>
      <w:pgMar w:top="2098" w:right="1588" w:bottom="2098" w:left="1588" w:header="851" w:footer="992"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25FB"/>
    <w:rsid w:val="000001AF"/>
    <w:rsid w:val="00002058"/>
    <w:rsid w:val="00016399"/>
    <w:rsid w:val="000339CB"/>
    <w:rsid w:val="000436A9"/>
    <w:rsid w:val="000607A1"/>
    <w:rsid w:val="00083D0D"/>
    <w:rsid w:val="000A381F"/>
    <w:rsid w:val="000A5479"/>
    <w:rsid w:val="000B19D3"/>
    <w:rsid w:val="000B77F4"/>
    <w:rsid w:val="000C6793"/>
    <w:rsid w:val="000E4E34"/>
    <w:rsid w:val="000E7433"/>
    <w:rsid w:val="000F7D8A"/>
    <w:rsid w:val="00114F88"/>
    <w:rsid w:val="00143ECB"/>
    <w:rsid w:val="0014637B"/>
    <w:rsid w:val="00161209"/>
    <w:rsid w:val="00163465"/>
    <w:rsid w:val="0017316D"/>
    <w:rsid w:val="00173FF0"/>
    <w:rsid w:val="001A0FB5"/>
    <w:rsid w:val="001C13AA"/>
    <w:rsid w:val="001C2AB0"/>
    <w:rsid w:val="001C692D"/>
    <w:rsid w:val="001F0900"/>
    <w:rsid w:val="002072AF"/>
    <w:rsid w:val="002104C4"/>
    <w:rsid w:val="00212616"/>
    <w:rsid w:val="002147A8"/>
    <w:rsid w:val="00222031"/>
    <w:rsid w:val="0022673A"/>
    <w:rsid w:val="002315B5"/>
    <w:rsid w:val="00241C26"/>
    <w:rsid w:val="00255474"/>
    <w:rsid w:val="00263F06"/>
    <w:rsid w:val="002A2862"/>
    <w:rsid w:val="002E4F0D"/>
    <w:rsid w:val="00305392"/>
    <w:rsid w:val="003062A2"/>
    <w:rsid w:val="00314FEA"/>
    <w:rsid w:val="00316E75"/>
    <w:rsid w:val="00336C68"/>
    <w:rsid w:val="00350D8E"/>
    <w:rsid w:val="0035206D"/>
    <w:rsid w:val="003754AE"/>
    <w:rsid w:val="00377909"/>
    <w:rsid w:val="0038030D"/>
    <w:rsid w:val="003A0531"/>
    <w:rsid w:val="003A2A6D"/>
    <w:rsid w:val="003B400C"/>
    <w:rsid w:val="003F1068"/>
    <w:rsid w:val="003F23C7"/>
    <w:rsid w:val="003F4696"/>
    <w:rsid w:val="004102F5"/>
    <w:rsid w:val="004116D5"/>
    <w:rsid w:val="00414E11"/>
    <w:rsid w:val="004252BF"/>
    <w:rsid w:val="004537F6"/>
    <w:rsid w:val="004622E7"/>
    <w:rsid w:val="0047149A"/>
    <w:rsid w:val="00493CBE"/>
    <w:rsid w:val="00494EF5"/>
    <w:rsid w:val="00497771"/>
    <w:rsid w:val="004B2ABF"/>
    <w:rsid w:val="004D234B"/>
    <w:rsid w:val="004D7159"/>
    <w:rsid w:val="004E3C1A"/>
    <w:rsid w:val="004E4720"/>
    <w:rsid w:val="00505820"/>
    <w:rsid w:val="005117B1"/>
    <w:rsid w:val="005125FB"/>
    <w:rsid w:val="00524A27"/>
    <w:rsid w:val="00525976"/>
    <w:rsid w:val="005266F0"/>
    <w:rsid w:val="00526777"/>
    <w:rsid w:val="0054171F"/>
    <w:rsid w:val="00554BB3"/>
    <w:rsid w:val="0056549D"/>
    <w:rsid w:val="00570AE1"/>
    <w:rsid w:val="00572112"/>
    <w:rsid w:val="00576CCD"/>
    <w:rsid w:val="0058572B"/>
    <w:rsid w:val="005936BE"/>
    <w:rsid w:val="005A49E8"/>
    <w:rsid w:val="005C192A"/>
    <w:rsid w:val="005C22DD"/>
    <w:rsid w:val="005D2387"/>
    <w:rsid w:val="005D3781"/>
    <w:rsid w:val="00600CEA"/>
    <w:rsid w:val="00620414"/>
    <w:rsid w:val="00620FD0"/>
    <w:rsid w:val="006376D7"/>
    <w:rsid w:val="0064241A"/>
    <w:rsid w:val="0064471E"/>
    <w:rsid w:val="00646234"/>
    <w:rsid w:val="0065569F"/>
    <w:rsid w:val="00672179"/>
    <w:rsid w:val="00675D73"/>
    <w:rsid w:val="0067706D"/>
    <w:rsid w:val="006A312B"/>
    <w:rsid w:val="006B2A53"/>
    <w:rsid w:val="006C0FF1"/>
    <w:rsid w:val="006C1169"/>
    <w:rsid w:val="006D3D03"/>
    <w:rsid w:val="006F11E1"/>
    <w:rsid w:val="0070022E"/>
    <w:rsid w:val="007364F0"/>
    <w:rsid w:val="00736B73"/>
    <w:rsid w:val="007475C5"/>
    <w:rsid w:val="00752136"/>
    <w:rsid w:val="00756635"/>
    <w:rsid w:val="0077202F"/>
    <w:rsid w:val="00773BB9"/>
    <w:rsid w:val="007744BD"/>
    <w:rsid w:val="007761D3"/>
    <w:rsid w:val="00793AD1"/>
    <w:rsid w:val="007A10F0"/>
    <w:rsid w:val="007C3035"/>
    <w:rsid w:val="007D0317"/>
    <w:rsid w:val="007D2072"/>
    <w:rsid w:val="007E10FE"/>
    <w:rsid w:val="007E2D8B"/>
    <w:rsid w:val="007F355A"/>
    <w:rsid w:val="007F6194"/>
    <w:rsid w:val="0081019D"/>
    <w:rsid w:val="008200F2"/>
    <w:rsid w:val="008351EB"/>
    <w:rsid w:val="00836BA3"/>
    <w:rsid w:val="008413A3"/>
    <w:rsid w:val="00847ED8"/>
    <w:rsid w:val="00851558"/>
    <w:rsid w:val="00851968"/>
    <w:rsid w:val="00851B13"/>
    <w:rsid w:val="008552C4"/>
    <w:rsid w:val="00863540"/>
    <w:rsid w:val="00873576"/>
    <w:rsid w:val="00896A70"/>
    <w:rsid w:val="008A0780"/>
    <w:rsid w:val="008A26BD"/>
    <w:rsid w:val="008B1E61"/>
    <w:rsid w:val="008B57AF"/>
    <w:rsid w:val="008C3258"/>
    <w:rsid w:val="008D1C46"/>
    <w:rsid w:val="008E080C"/>
    <w:rsid w:val="008E14B7"/>
    <w:rsid w:val="008E5DD5"/>
    <w:rsid w:val="008F7AA4"/>
    <w:rsid w:val="009012D0"/>
    <w:rsid w:val="0090212D"/>
    <w:rsid w:val="00907988"/>
    <w:rsid w:val="00922B05"/>
    <w:rsid w:val="00926FB8"/>
    <w:rsid w:val="00932E89"/>
    <w:rsid w:val="00933534"/>
    <w:rsid w:val="009338AA"/>
    <w:rsid w:val="0094154E"/>
    <w:rsid w:val="00943226"/>
    <w:rsid w:val="00944DEE"/>
    <w:rsid w:val="00946BF8"/>
    <w:rsid w:val="00952290"/>
    <w:rsid w:val="00962EA0"/>
    <w:rsid w:val="0096431A"/>
    <w:rsid w:val="009650F4"/>
    <w:rsid w:val="0096552B"/>
    <w:rsid w:val="00967F4D"/>
    <w:rsid w:val="00970738"/>
    <w:rsid w:val="00971617"/>
    <w:rsid w:val="009832C1"/>
    <w:rsid w:val="009834CD"/>
    <w:rsid w:val="00985330"/>
    <w:rsid w:val="009864B3"/>
    <w:rsid w:val="009A0B78"/>
    <w:rsid w:val="009D04F8"/>
    <w:rsid w:val="009E232D"/>
    <w:rsid w:val="009E3B30"/>
    <w:rsid w:val="00A0784B"/>
    <w:rsid w:val="00A138B4"/>
    <w:rsid w:val="00A14DDB"/>
    <w:rsid w:val="00A21F70"/>
    <w:rsid w:val="00A27B82"/>
    <w:rsid w:val="00A36729"/>
    <w:rsid w:val="00A46E2C"/>
    <w:rsid w:val="00A62EDB"/>
    <w:rsid w:val="00A80CD4"/>
    <w:rsid w:val="00A833C7"/>
    <w:rsid w:val="00A85C12"/>
    <w:rsid w:val="00A9164C"/>
    <w:rsid w:val="00A95126"/>
    <w:rsid w:val="00AA32CC"/>
    <w:rsid w:val="00AA7561"/>
    <w:rsid w:val="00AC393B"/>
    <w:rsid w:val="00B167B8"/>
    <w:rsid w:val="00B1771C"/>
    <w:rsid w:val="00B32CCC"/>
    <w:rsid w:val="00B42DF4"/>
    <w:rsid w:val="00B50B53"/>
    <w:rsid w:val="00B52D0E"/>
    <w:rsid w:val="00B61522"/>
    <w:rsid w:val="00B62CA0"/>
    <w:rsid w:val="00B66DD3"/>
    <w:rsid w:val="00B86A81"/>
    <w:rsid w:val="00B92BE2"/>
    <w:rsid w:val="00B956BF"/>
    <w:rsid w:val="00BA0E83"/>
    <w:rsid w:val="00BC6291"/>
    <w:rsid w:val="00BC67C1"/>
    <w:rsid w:val="00BD4AFB"/>
    <w:rsid w:val="00BE5441"/>
    <w:rsid w:val="00BF72A2"/>
    <w:rsid w:val="00C06E02"/>
    <w:rsid w:val="00C30D28"/>
    <w:rsid w:val="00C3706D"/>
    <w:rsid w:val="00C40645"/>
    <w:rsid w:val="00C40C39"/>
    <w:rsid w:val="00C52D05"/>
    <w:rsid w:val="00C53610"/>
    <w:rsid w:val="00C62927"/>
    <w:rsid w:val="00C66668"/>
    <w:rsid w:val="00C84244"/>
    <w:rsid w:val="00C9103E"/>
    <w:rsid w:val="00CC3A99"/>
    <w:rsid w:val="00CC5B04"/>
    <w:rsid w:val="00CC6D40"/>
    <w:rsid w:val="00CD1D35"/>
    <w:rsid w:val="00CD4B15"/>
    <w:rsid w:val="00CF4DBB"/>
    <w:rsid w:val="00D06459"/>
    <w:rsid w:val="00D12625"/>
    <w:rsid w:val="00D21061"/>
    <w:rsid w:val="00D4557F"/>
    <w:rsid w:val="00D50891"/>
    <w:rsid w:val="00D54D31"/>
    <w:rsid w:val="00D55081"/>
    <w:rsid w:val="00D837EC"/>
    <w:rsid w:val="00D844D0"/>
    <w:rsid w:val="00DB3565"/>
    <w:rsid w:val="00DC3E56"/>
    <w:rsid w:val="00DD26C0"/>
    <w:rsid w:val="00DF2874"/>
    <w:rsid w:val="00DF5963"/>
    <w:rsid w:val="00E1234D"/>
    <w:rsid w:val="00E12D20"/>
    <w:rsid w:val="00E2470A"/>
    <w:rsid w:val="00E30455"/>
    <w:rsid w:val="00E31E7E"/>
    <w:rsid w:val="00E5481E"/>
    <w:rsid w:val="00E5603B"/>
    <w:rsid w:val="00E60FEC"/>
    <w:rsid w:val="00E669D5"/>
    <w:rsid w:val="00E712F7"/>
    <w:rsid w:val="00E76B37"/>
    <w:rsid w:val="00E83692"/>
    <w:rsid w:val="00E85B52"/>
    <w:rsid w:val="00E92492"/>
    <w:rsid w:val="00EA475F"/>
    <w:rsid w:val="00EB1DC9"/>
    <w:rsid w:val="00EC25A0"/>
    <w:rsid w:val="00EC414C"/>
    <w:rsid w:val="00ED0595"/>
    <w:rsid w:val="00ED1A85"/>
    <w:rsid w:val="00EE0250"/>
    <w:rsid w:val="00EF45B8"/>
    <w:rsid w:val="00F1621D"/>
    <w:rsid w:val="00F25C2C"/>
    <w:rsid w:val="00F33DAF"/>
    <w:rsid w:val="00F4380F"/>
    <w:rsid w:val="00F51EB2"/>
    <w:rsid w:val="00F52319"/>
    <w:rsid w:val="00F6103E"/>
    <w:rsid w:val="00F6710F"/>
    <w:rsid w:val="00F767BE"/>
    <w:rsid w:val="00F82836"/>
    <w:rsid w:val="00FC4AB5"/>
    <w:rsid w:val="00FD2758"/>
    <w:rsid w:val="00FD2A16"/>
    <w:rsid w:val="00FD35E3"/>
    <w:rsid w:val="00FF3F61"/>
    <w:rsid w:val="03F846C7"/>
    <w:rsid w:val="041B00E5"/>
    <w:rsid w:val="05497A04"/>
    <w:rsid w:val="059E69EA"/>
    <w:rsid w:val="064D63B8"/>
    <w:rsid w:val="07153FFC"/>
    <w:rsid w:val="079C4087"/>
    <w:rsid w:val="09116CAB"/>
    <w:rsid w:val="09286E58"/>
    <w:rsid w:val="0AA30CB1"/>
    <w:rsid w:val="0B5B479D"/>
    <w:rsid w:val="0BE72EE2"/>
    <w:rsid w:val="0C690EB6"/>
    <w:rsid w:val="0CC717F3"/>
    <w:rsid w:val="0CC97884"/>
    <w:rsid w:val="0D0D0637"/>
    <w:rsid w:val="0E214CDF"/>
    <w:rsid w:val="0EE64CA3"/>
    <w:rsid w:val="10584C60"/>
    <w:rsid w:val="11921B77"/>
    <w:rsid w:val="13875855"/>
    <w:rsid w:val="13D241B0"/>
    <w:rsid w:val="153D0995"/>
    <w:rsid w:val="1584445E"/>
    <w:rsid w:val="16BC309D"/>
    <w:rsid w:val="177A19DA"/>
    <w:rsid w:val="17C15A28"/>
    <w:rsid w:val="18B66CDC"/>
    <w:rsid w:val="190F60B3"/>
    <w:rsid w:val="192533ED"/>
    <w:rsid w:val="1AF409A4"/>
    <w:rsid w:val="1C26611A"/>
    <w:rsid w:val="1C4560BD"/>
    <w:rsid w:val="1C6F2FD9"/>
    <w:rsid w:val="1E7C1333"/>
    <w:rsid w:val="254A5F06"/>
    <w:rsid w:val="26545E24"/>
    <w:rsid w:val="27131389"/>
    <w:rsid w:val="28102BFE"/>
    <w:rsid w:val="287D28DD"/>
    <w:rsid w:val="28B57B8B"/>
    <w:rsid w:val="293F5A12"/>
    <w:rsid w:val="2D4C70E2"/>
    <w:rsid w:val="310B7DDF"/>
    <w:rsid w:val="312203CD"/>
    <w:rsid w:val="313E3D07"/>
    <w:rsid w:val="320F143E"/>
    <w:rsid w:val="32DF5168"/>
    <w:rsid w:val="337D2AE4"/>
    <w:rsid w:val="343C2083"/>
    <w:rsid w:val="34A36629"/>
    <w:rsid w:val="378614F6"/>
    <w:rsid w:val="3A4B229C"/>
    <w:rsid w:val="3BC14680"/>
    <w:rsid w:val="3BEA0CAE"/>
    <w:rsid w:val="3BFF40EC"/>
    <w:rsid w:val="3F2419B5"/>
    <w:rsid w:val="3FDD112A"/>
    <w:rsid w:val="40327D63"/>
    <w:rsid w:val="406A4FF7"/>
    <w:rsid w:val="42D56116"/>
    <w:rsid w:val="43267CC8"/>
    <w:rsid w:val="45D71D09"/>
    <w:rsid w:val="46A04D1F"/>
    <w:rsid w:val="47EE336F"/>
    <w:rsid w:val="491F3372"/>
    <w:rsid w:val="49D72F01"/>
    <w:rsid w:val="4A5C11E3"/>
    <w:rsid w:val="4ACF5890"/>
    <w:rsid w:val="4E9C6C36"/>
    <w:rsid w:val="4ECB14E9"/>
    <w:rsid w:val="4F1F0224"/>
    <w:rsid w:val="4F3877B5"/>
    <w:rsid w:val="4F6D1D66"/>
    <w:rsid w:val="50F354B0"/>
    <w:rsid w:val="51E83D06"/>
    <w:rsid w:val="51F338CF"/>
    <w:rsid w:val="520702ED"/>
    <w:rsid w:val="56DB34EE"/>
    <w:rsid w:val="57A50EB8"/>
    <w:rsid w:val="57A7571C"/>
    <w:rsid w:val="59296AC4"/>
    <w:rsid w:val="59775CBC"/>
    <w:rsid w:val="5B3E2EF1"/>
    <w:rsid w:val="5B4904AB"/>
    <w:rsid w:val="5C4637C1"/>
    <w:rsid w:val="5DED19AA"/>
    <w:rsid w:val="5E587698"/>
    <w:rsid w:val="615933BC"/>
    <w:rsid w:val="68547B2B"/>
    <w:rsid w:val="69170470"/>
    <w:rsid w:val="69FE3B6D"/>
    <w:rsid w:val="6A0F17A2"/>
    <w:rsid w:val="6B0B72AC"/>
    <w:rsid w:val="6B8A5F09"/>
    <w:rsid w:val="6C0B0F01"/>
    <w:rsid w:val="6DAA1E39"/>
    <w:rsid w:val="706869A0"/>
    <w:rsid w:val="711D393A"/>
    <w:rsid w:val="72691DEA"/>
    <w:rsid w:val="727151B0"/>
    <w:rsid w:val="72AF06C4"/>
    <w:rsid w:val="743F4605"/>
    <w:rsid w:val="748D555F"/>
    <w:rsid w:val="75D566D0"/>
    <w:rsid w:val="773A2730"/>
    <w:rsid w:val="78510C99"/>
    <w:rsid w:val="792A6E36"/>
    <w:rsid w:val="7BE7D157"/>
    <w:rsid w:val="7F5151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414</Words>
  <Characters>2364</Characters>
  <Lines>19</Lines>
  <Paragraphs>5</Paragraphs>
  <TotalTime>29</TotalTime>
  <ScaleCrop>false</ScaleCrop>
  <LinksUpToDate>false</LinksUpToDate>
  <CharactersWithSpaces>2773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2021-09-03T12:04:00Z</dcterms:created>
  <dc:creator>Administrator</dc:creator>
  <cp:lastModifiedBy>kylin</cp:lastModifiedBy>
  <cp:lastPrinted>2021-09-17T19:20:00Z</cp:lastPrinted>
  <dcterms:modified xsi:type="dcterms:W3CDTF">2021-10-26T16:55:54Z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