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新疆和田地区民丰县残疾人联合会</w:t>
      </w:r>
      <w:r>
        <w:rPr>
          <w:rFonts w:hint="eastAsia" w:ascii="方正小标宋_GBK" w:hAnsi="宋体" w:eastAsia="方正小标宋_GBK"/>
          <w:color w:val="auto"/>
          <w:sz w:val="44"/>
          <w:szCs w:val="44"/>
        </w:rPr>
        <w:t>2020</w:t>
      </w:r>
      <w:r>
        <w:rPr>
          <w:rFonts w:hint="eastAsia" w:ascii="方正小标宋_GBK" w:hAnsi="宋体" w:eastAsia="方正小标宋_GBK"/>
          <w:color w:val="auto"/>
          <w:sz w:val="44"/>
          <w:szCs w:val="44"/>
          <w:highlight w:val="none"/>
        </w:rPr>
        <w:t>年度部门决算公开说明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t>九、《国有资本经营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32314"/>
      <w:bookmarkStart w:id="1" w:name="_Toc24028"/>
      <w:r>
        <w:rPr>
          <w:rFonts w:hint="eastAsia" w:ascii="黑体" w:hAnsi="黑体"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1、按照《中国残疾人联合会章程》，在县委、县政府的领导和上级残联的指导下开展工作，发展全县残疾人事业。</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2、听取残疾人意见，反映残疾人需求，维护残疾人权益，为残疾人服务。</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3、团结、教育残疾人遵纪守法，履行应尽义务，发扬乐观进取精神，自尊、自信、自强、自立，为社会主义现代化建设贡献力量。</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4、弘扬人道主义，宣传残疾人事业，沟通政府、社会与残疾人之间的联系，动员社会理解、尊重、关心、帮助残疾人。</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5、开展残疾人康复、教育、劳动就业、扶贫、文化、体育、用品用具供应、福利、社会服务、无障碍设施和残疾预防等工作，创造良好环境和条件，扶助残疾人平等参与社会生活。</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6、协助政府研究、制定和实施残疾人事业发展规划，对有关业务领域进行指导管理。</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7、承担县人民政府残疾人工作委员会的日常工作，做好综合组织、协调和服务。</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8、负责对各类残疾人社会团体组织进行监督管理。</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9、开展对残疾人事业的县内外交流与合作。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10、承担政府交办的其他工作。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新疆和田地区民丰县残疾人联合会2020年度，实有人数6人，其中：在职人员4人，离休人员0人，退休人员2人。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从部门决算单位构成看，新疆和田地区民丰县残疾人联合会部门决算包括：新疆和田地区民丰县残疾人联合会决算。单位无下属预算单位，下设2个处室，分别是：财务室、劳动就业服务所。</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6" w:name="_Toc12566"/>
      <w:bookmarkStart w:id="7" w:name="_Toc25314"/>
      <w:r>
        <w:rPr>
          <w:rFonts w:hint="eastAsia" w:ascii="黑体" w:hAnsi="黑体" w:eastAsia="黑体" w:cs="宋体"/>
          <w:bCs/>
          <w:color w:val="auto"/>
          <w:kern w:val="0"/>
          <w:sz w:val="32"/>
          <w:szCs w:val="32"/>
          <w:highlight w:val="none"/>
        </w:rPr>
        <w:t>一、收入支出决算总体情况说明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val="0"/>
          <w:bCs w:val="0"/>
          <w:color w:val="auto"/>
          <w:spacing w:val="0"/>
          <w:sz w:val="32"/>
          <w:szCs w:val="32"/>
          <w:highlight w:val="none"/>
          <w:lang w:val="en-US" w:eastAsia="zh-CN"/>
        </w:rPr>
        <w:t>2020年度本年收入699.60万元，与上年相比，增加293.86万元，增长72.43%</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人员工资及相关公用经费由民政局预算管理转为本单位独立预算管理</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本年支出697.60万元，与上年相比，增加291.86万元，增长71.93%</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人员工资及相关公用经费由民政局统发转为本单位统发</w:t>
      </w:r>
      <w:r>
        <w:rPr>
          <w:rFonts w:hint="eastAsia" w:ascii="仿宋_GB2312"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979"/>
      <w:bookmarkStart w:id="9"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本年收入699.60万元，其中：财政拨款收入697.45万元，占99.69%；上级补助收入0.00万元，占0.00%；事业收入0.00万元，占0.00%；经营收入0.00万元，占0.00%；附属单位上缴收入0.00万元，占0.00%；其他收入2.15万元，占0.31%。</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0" w:name="_Toc13201"/>
      <w:bookmarkStart w:id="11" w:name="_Toc27961"/>
      <w:r>
        <w:rPr>
          <w:rFonts w:hint="eastAsia" w:ascii="黑体" w:hAnsi="黑体" w:eastAsia="黑体" w:cs="宋体"/>
          <w:bCs/>
          <w:color w:val="auto"/>
          <w:kern w:val="0"/>
          <w:sz w:val="32"/>
          <w:szCs w:val="32"/>
          <w:highlight w:val="none"/>
          <w:lang w:eastAsia="zh-CN"/>
        </w:rPr>
        <w:t>三、支出决算情况说明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en-US" w:eastAsia="zh-CN"/>
        </w:rPr>
        <w:t>2020年度本年支出697.60万元，其中：基本支出82.29万元，占11.80%；项目支出615.30万元，占88.20%；上缴上级支出0.00万元，占0.00%；经营支出0.00万元，占0.00%；对附属单位补助支出0.00万元，占0.00%。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6564"/>
      <w:bookmarkStart w:id="13" w:name="_Toc4393"/>
      <w:r>
        <w:rPr>
          <w:rFonts w:hint="eastAsia" w:ascii="黑体" w:hAnsi="黑体" w:eastAsia="黑体" w:cs="宋体"/>
          <w:bCs/>
          <w:color w:val="auto"/>
          <w:kern w:val="0"/>
          <w:sz w:val="32"/>
          <w:szCs w:val="32"/>
          <w:highlight w:val="none"/>
          <w:lang w:eastAsia="zh-CN"/>
        </w:rPr>
        <w:t>四、财政拨款收入支出决算总体情况说明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2020年度财政拨款收入697.45万元，与上年相比，增加294.91万元，增长73.26%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人员经费及公用经费预算由民政局统一核算转为本单位独立核算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财政拨款支出697.45万元，与上年相比，增加294.91万元，增长73.26%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人员经费及公用经费预算由民政局统一核算转为本单位独立核算</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与年初预算数相比情况：财政拨款收入年初预算数91.66万元，决算数697.45万元，预决算差异率660.91%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年初只做人员经费预算，未做项目预算，年中追加项目经费，导致预决算存在差异</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财政拨款支出年初预算数91.66万元，决算数697.45万元，预决算差异率660.91%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年初只做人员经费预算，未做项目预算，年中追加项目经费，导致预决算存在差异</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13833"/>
      <w:bookmarkStart w:id="15"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4"/>
      <w:bookmarkEnd w:id="1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2020年度一般公共预算财政拨款支出679.84万元。按功能分类科目项级科目公开，其中：</w:t>
      </w:r>
    </w:p>
    <w:p>
      <w:pPr>
        <w:keepNext w:val="0"/>
        <w:keepLines w:val="0"/>
        <w:pageBreakBefore w:val="0"/>
        <w:widowControl w:val="0"/>
        <w:kinsoku/>
        <w:wordWrap/>
        <w:overflowPunct/>
        <w:topLinePunct w:val="0"/>
        <w:bidi w:val="0"/>
        <w:adjustRightInd/>
        <w:snapToGrid/>
        <w:spacing w:line="240" w:lineRule="auto"/>
        <w:textAlignment w:val="auto"/>
        <w:rPr>
          <w:rFonts w:hint="default" w:ascii="仿宋_GB2312" w:eastAsia="仿宋_GB2312"/>
          <w:b/>
          <w:bCs/>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w:t>
      </w:r>
      <w:bookmarkStart w:id="52" w:name="_GoBack"/>
      <w:r>
        <w:rPr>
          <w:rFonts w:hint="eastAsia" w:ascii="仿宋_GB2312" w:eastAsia="仿宋_GB2312"/>
          <w:color w:val="auto"/>
          <w:sz w:val="32"/>
          <w:szCs w:val="32"/>
          <w:highlight w:val="none"/>
          <w:lang w:val="en-US" w:eastAsia="zh-CN"/>
        </w:rPr>
        <w:t xml:space="preserve"> </w:t>
      </w:r>
      <w:bookmarkEnd w:id="52"/>
      <w:r>
        <w:rPr>
          <w:rFonts w:hint="eastAsia" w:ascii="仿宋_GB2312" w:eastAsia="仿宋_GB2312"/>
          <w:color w:val="auto"/>
          <w:sz w:val="32"/>
          <w:szCs w:val="32"/>
          <w:highlight w:val="none"/>
          <w:lang w:val="en-US" w:eastAsia="zh-CN"/>
        </w:rPr>
        <w:t xml:space="preserve">  2010499 其他发展与改革事务支出4.00万元;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2080505 机关事业单位基本养老保险缴费支出5.82万元;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2081101 行政运行76.33万元;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2081104 残疾人康复587.87万元;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2081105 残疾人就业和扶贫3.93万元;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2081199 其他残疾人事业支出1.90万元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1146"/>
      <w:bookmarkStart w:id="17" w:name="_Toc30870"/>
      <w:r>
        <w:rPr>
          <w:rFonts w:hint="eastAsia" w:ascii="黑体" w:hAnsi="黑体" w:eastAsia="黑体" w:cs="宋体"/>
          <w:bCs/>
          <w:color w:val="auto"/>
          <w:kern w:val="0"/>
          <w:sz w:val="32"/>
          <w:szCs w:val="32"/>
          <w:highlight w:val="none"/>
          <w:lang w:eastAsia="zh-CN"/>
        </w:rPr>
        <w:t>六、一般公共预算财政拨款基本支出决算情况说明</w:t>
      </w:r>
      <w:bookmarkEnd w:id="16"/>
      <w:bookmarkEnd w:id="1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2020年度一般公共预算财政拨款基本支出82.15万元，其中：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人员经费78.09万元，包括：基本工资、津贴补贴、奖金、机关事业单位基本养老保险缴费、职工基本医疗保险缴费、公务员医疗补助缴费、住房公积金、医疗费、退休费、生活补助、奖励金。</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公用经费4.06万元，包括：电费、办公费、差旅费、维修（护）费、公务接待费、福利费、公务用车运行维护费。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190"/>
      <w:bookmarkStart w:id="19" w:name="_Toc21518"/>
      <w:r>
        <w:rPr>
          <w:rFonts w:hint="eastAsia" w:ascii="黑体" w:hAnsi="黑体" w:eastAsia="黑体" w:cs="宋体"/>
          <w:bCs/>
          <w:color w:val="auto"/>
          <w:kern w:val="0"/>
          <w:sz w:val="32"/>
          <w:szCs w:val="32"/>
          <w:highlight w:val="none"/>
          <w:lang w:eastAsia="zh-CN"/>
        </w:rPr>
        <w:t>七</w:t>
      </w:r>
      <w:r>
        <w:rPr>
          <w:rFonts w:hint="eastAsia" w:ascii="黑体" w:hAnsi="黑体" w:eastAsia="黑体" w:cs="宋体"/>
          <w:bCs/>
          <w:color w:val="auto"/>
          <w:kern w:val="0"/>
          <w:sz w:val="32"/>
          <w:szCs w:val="32"/>
          <w:highlight w:val="none"/>
        </w:rPr>
        <w:t>、一般公共预算</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2020年度一般公共预算“三公”经费支出决算2.13万元，比上年增加1.95万元，增长1,083.33%</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2019年度车辆运行经费未纳入部门预算，并且本年新增公务接待费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其中，因公出国（境）费支出0.00万元，占0.00%，比上年增加0.00万元，增长0.00%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与上年无差异</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公务用车购置及运行维护费支出2.00万元，占93.9%，比上年增加1.82万元，增长1,011.11%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2019年度车辆运行经费未纳入部门预算</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公务接待费支出0.13万元，占6.1%，比上年增加0.13万元，增长100.00%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本年新增公务接待费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因公出国（境）费支出0.00万元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未安排相关支出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公务用车购置及运行维护费2.00万元，其中，公务用车购置费0.00万元，公务用车运行维护费2.00万元。</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车辆加油费、维修费、保险费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公务用车购置数0辆，公务用车保有量2辆。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公务接待费0.13万元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上级领导检查，接待就餐费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单位全年安排的国内公务接待1批次，6人次。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与年初预算数相比情况：一般公共预算“三公”经费支出年初预算数2.20万元，决算数2.13万元，预决算差异率-3.18%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严格执行八项规定，厉行节约</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其中：因公出国（境）费预算数0.00万元，决算数0.00万元，预决算差异率0.00%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未安排相关预算</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公务用车购置费预算数0.00万元，决算数0.00万元，预决算差异率0.00%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未安排相关预算</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公务用车运行费预算数2.00万元，决算数2.00万元，预决算差异率0.00%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严格按照预算执行</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公务接待费预算数0.20万元，决算数0.13万元，预决算差异率-35.00%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严格执行八项规定，厉行节约</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927"/>
      <w:bookmarkStart w:id="21" w:name="_Toc5810"/>
      <w:r>
        <w:rPr>
          <w:rFonts w:hint="eastAsia" w:ascii="黑体" w:hAnsi="黑体" w:eastAsia="黑体" w:cs="宋体"/>
          <w:bCs/>
          <w:color w:val="auto"/>
          <w:kern w:val="0"/>
          <w:sz w:val="32"/>
          <w:szCs w:val="32"/>
          <w:highlight w:val="none"/>
          <w:lang w:eastAsia="zh-CN"/>
        </w:rPr>
        <w:t>八、政府性基金预算收入支出决算情况说明</w:t>
      </w:r>
      <w:bookmarkEnd w:id="20"/>
      <w:bookmarkEnd w:id="2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2020年度政府性基金预算财政拨款收入17.61万元，与上年相比，增加17.17万元，增长3,902.27%，主要原因是：增加50户残疾人家庭无障碍改造项目。政府性基金预算支出17.61万元。与上年相比，增加17.17万元，增长3,902.27%，主要原因是：增加50户残疾人家庭无障碍改造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2" w:name="_Toc1235"/>
      <w:bookmarkStart w:id="23"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rPr>
      </w:pPr>
      <w:bookmarkStart w:id="24" w:name="_Toc14519"/>
      <w:bookmarkStart w:id="25"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2020年度新疆和田地区民丰县残疾人联合会（行政单位和参照公务员法管理事业单位）机关运行经费支出4.06万元，比上年增加1.04万元，增长34.44%</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人员工资及经费由民政局核算转为本单位独立核算</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bookmarkStart w:id="26" w:name="_Toc227"/>
      <w:bookmarkStart w:id="27" w:name="_Toc26704"/>
      <w:r>
        <w:rPr>
          <w:rFonts w:hint="eastAsia" w:ascii="黑体" w:hAnsi="黑体" w:eastAsia="黑体"/>
          <w:color w:val="auto"/>
          <w:sz w:val="32"/>
          <w:szCs w:val="32"/>
          <w:highlight w:val="none"/>
          <w:lang w:eastAsia="zh-CN"/>
        </w:rPr>
        <w:t>（二）政府采购情况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bookmarkStart w:id="28" w:name="_Toc8391"/>
      <w:bookmarkStart w:id="29" w:name="_Toc4591"/>
      <w:r>
        <w:rPr>
          <w:rFonts w:hint="eastAsia" w:ascii="仿宋_GB2312" w:eastAsia="仿宋_GB2312"/>
          <w:color w:val="auto"/>
          <w:spacing w:val="0"/>
          <w:sz w:val="32"/>
          <w:szCs w:val="32"/>
          <w:highlight w:val="none"/>
          <w:lang w:val="en-US" w:eastAsia="zh-CN"/>
        </w:rPr>
        <w:t>授予中小企业合同金额0.00万元，占政府采购支出总额的0%，其中：授予小微企业合同金额0.00万元，占政府采购支出总额的0.00%。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（三）国有资产占用情况说明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截止2020年12月31日，单位共有房屋0.00（平方米），价值0.00万元。车辆2辆，价值24.58万元，其中：副部（省）级及以上领导用车0辆、主要领导干部用车0辆、机要通信用车0辆、应急保障用车0辆、执法执勤用车0辆、特种专业技术用车0辆、离退休干部用车0辆、其他用车2辆</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val="en-US" w:eastAsia="zh-CN"/>
        </w:rPr>
        <w:t>一般公务用车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单位价值50万元以上通用设备0台（套）、单位价值100万元以上专用设备0台（套）。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30" w:name="_Toc435"/>
      <w:bookmarkStart w:id="31" w:name="_Toc11283"/>
      <w:r>
        <w:rPr>
          <w:rFonts w:hint="eastAsia" w:ascii="黑体" w:hAnsi="黑体" w:eastAsia="黑体" w:cs="宋体"/>
          <w:bCs/>
          <w:kern w:val="0"/>
          <w:sz w:val="32"/>
          <w:szCs w:val="32"/>
          <w:highlight w:val="none"/>
          <w:lang w:eastAsia="zh-CN"/>
        </w:rPr>
        <w:t>十一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根据预算绩效管理要求，我单位</w:t>
      </w:r>
      <w:r>
        <w:rPr>
          <w:rFonts w:hint="eastAsia" w:ascii="仿宋_GB2312" w:eastAsia="仿宋_GB2312"/>
          <w:color w:val="auto"/>
          <w:sz w:val="32"/>
          <w:szCs w:val="32"/>
          <w:highlight w:val="none"/>
          <w:lang w:val="en-US" w:eastAsia="zh-CN"/>
        </w:rPr>
        <w:t>2020</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个，共涉及资金</w:t>
      </w:r>
      <w:r>
        <w:rPr>
          <w:rFonts w:hint="eastAsia" w:ascii="仿宋_GB2312" w:eastAsia="仿宋_GB2312"/>
          <w:color w:val="auto"/>
          <w:sz w:val="32"/>
          <w:szCs w:val="32"/>
          <w:highlight w:val="none"/>
          <w:lang w:val="en-US" w:eastAsia="zh-CN"/>
        </w:rPr>
        <w:t>22.89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领导重视到位：高度重视，主要领导亲自抓，并予以充分的人力、财力保障。责任落实到位：将各项目工作列入年度干部绩效考核实施方案，将各项目工作落实到具体科室、具体岗位、具体个人。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三是健全项目管理制度。我单位已有保证项目实施的制度、措施等，如《民丰县残疾人联合会绩效考核制度》、《民丰县残疾人联合会工作细则》</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民丰县残疾人联合会结合项目情况制定了《民丰县残疾人联合会财务管理制度》，但未针对该项目制定总体的实施管理办法、专项资金管理办法等相关制度</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一是科学编制预算，进一步加强预算管理，严格按财政部门的要求和规定执行资金使用。二是加强财务管理，严格财务审核，依照法律法规对各项开支审核报账</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32" w:name="_Toc3250"/>
      <w:bookmarkStart w:id="33" w:name="_Toc24143"/>
      <w:bookmarkStart w:id="34" w:name="_Toc22784"/>
      <w:bookmarkStart w:id="35" w:name="_Toc28903"/>
      <w:r>
        <w:rPr>
          <w:rFonts w:hint="eastAsia" w:ascii="黑体" w:hAnsi="黑体" w:eastAsia="黑体"/>
          <w:sz w:val="32"/>
          <w:szCs w:val="32"/>
          <w:highlight w:val="none"/>
        </w:rPr>
        <w:t>第三部分 专业名词解释</w:t>
      </w:r>
      <w:bookmarkEnd w:id="32"/>
      <w:bookmarkEnd w:id="33"/>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6062"/>
      <w:bookmarkStart w:id="37" w:name="_Toc2183"/>
      <w:r>
        <w:rPr>
          <w:rFonts w:hint="eastAsia" w:ascii="黑体" w:hAnsi="黑体" w:eastAsia="黑体" w:cs="宋体"/>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24532"/>
      <w:bookmarkStart w:id="39" w:name="_Toc30364"/>
      <w:r>
        <w:rPr>
          <w:rFonts w:hint="eastAsia" w:ascii="黑体" w:hAnsi="黑体" w:eastAsia="黑体" w:cs="宋体"/>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32434"/>
      <w:bookmarkStart w:id="41" w:name="_Toc21304"/>
      <w:r>
        <w:rPr>
          <w:rFonts w:hint="eastAsia" w:ascii="黑体" w:hAnsi="黑体" w:eastAsia="黑体" w:cs="宋体"/>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28786"/>
      <w:bookmarkStart w:id="43" w:name="_Toc14238"/>
      <w:r>
        <w:rPr>
          <w:rFonts w:hint="eastAsia" w:ascii="黑体" w:hAnsi="黑体" w:eastAsia="黑体" w:cs="宋体"/>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14869"/>
      <w:bookmarkStart w:id="45" w:name="_Toc10347"/>
      <w:r>
        <w:rPr>
          <w:rFonts w:hint="eastAsia" w:ascii="黑体" w:hAnsi="黑体" w:eastAsia="黑体" w:cs="宋体"/>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5626"/>
      <w:bookmarkStart w:id="47" w:name="_Toc8884"/>
      <w:r>
        <w:rPr>
          <w:rFonts w:hint="eastAsia" w:ascii="黑体" w:hAnsi="黑体" w:eastAsia="黑体" w:cs="宋体"/>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8" w:name="_Toc29106"/>
      <w:bookmarkStart w:id="49" w:name="_Toc32663"/>
      <w:r>
        <w:rPr>
          <w:rFonts w:hint="eastAsia" w:ascii="黑体" w:hAnsi="黑体" w:eastAsia="黑体" w:cs="宋体"/>
          <w:bCs/>
          <w:kern w:val="0"/>
          <w:sz w:val="32"/>
          <w:szCs w:val="32"/>
          <w:highlight w:val="none"/>
        </w:rPr>
        <w:t>七、《一般公共预算财政拨款“三公”经费支出决算表》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7643"/>
      <w:bookmarkStart w:id="51" w:name="_Toc5453"/>
      <w:r>
        <w:rPr>
          <w:rFonts w:hint="eastAsia" w:ascii="黑体" w:hAnsi="黑体" w:eastAsia="黑体" w:cs="宋体"/>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mzV+cvQEAAGIDAAAOAAAAAAAAAAEAIAAAAB4BAABkcnMvZTJvRG9jLnhtbFBLBQYAAAAA&#10;BgAGAFkBAABN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1169A"/>
    <w:rsid w:val="01734C27"/>
    <w:rsid w:val="01DD6073"/>
    <w:rsid w:val="02014C29"/>
    <w:rsid w:val="02890C73"/>
    <w:rsid w:val="04044ED1"/>
    <w:rsid w:val="041C5E18"/>
    <w:rsid w:val="04AA63C1"/>
    <w:rsid w:val="04EE377F"/>
    <w:rsid w:val="051C631E"/>
    <w:rsid w:val="0562142B"/>
    <w:rsid w:val="06792773"/>
    <w:rsid w:val="074F280E"/>
    <w:rsid w:val="075B1482"/>
    <w:rsid w:val="075F768F"/>
    <w:rsid w:val="07BA7C7F"/>
    <w:rsid w:val="07C3443C"/>
    <w:rsid w:val="08476613"/>
    <w:rsid w:val="084876D1"/>
    <w:rsid w:val="09026D66"/>
    <w:rsid w:val="090B11F4"/>
    <w:rsid w:val="0A2E4EB6"/>
    <w:rsid w:val="0A611FB0"/>
    <w:rsid w:val="0A6D05E4"/>
    <w:rsid w:val="0AC520F0"/>
    <w:rsid w:val="0B21162A"/>
    <w:rsid w:val="0B557DD5"/>
    <w:rsid w:val="0BED1442"/>
    <w:rsid w:val="0C595DFB"/>
    <w:rsid w:val="0C7A5D15"/>
    <w:rsid w:val="0CD00AF9"/>
    <w:rsid w:val="0CFEBB4E"/>
    <w:rsid w:val="0D0A4F7E"/>
    <w:rsid w:val="0D0B27DC"/>
    <w:rsid w:val="0D7C3599"/>
    <w:rsid w:val="0E003458"/>
    <w:rsid w:val="0E1F036C"/>
    <w:rsid w:val="0EB33F18"/>
    <w:rsid w:val="0F1410FB"/>
    <w:rsid w:val="0F923480"/>
    <w:rsid w:val="1056158D"/>
    <w:rsid w:val="10F929CB"/>
    <w:rsid w:val="10FF31A4"/>
    <w:rsid w:val="1142269D"/>
    <w:rsid w:val="11450985"/>
    <w:rsid w:val="11CA45A9"/>
    <w:rsid w:val="11E8712A"/>
    <w:rsid w:val="11FE3AAA"/>
    <w:rsid w:val="122451E5"/>
    <w:rsid w:val="126B62A8"/>
    <w:rsid w:val="12951F13"/>
    <w:rsid w:val="12B1037D"/>
    <w:rsid w:val="12CC4CD9"/>
    <w:rsid w:val="13326CE6"/>
    <w:rsid w:val="14284AED"/>
    <w:rsid w:val="15CF1AC0"/>
    <w:rsid w:val="17083B88"/>
    <w:rsid w:val="1742163F"/>
    <w:rsid w:val="176E53C3"/>
    <w:rsid w:val="1805797E"/>
    <w:rsid w:val="18124080"/>
    <w:rsid w:val="182E453B"/>
    <w:rsid w:val="189A656F"/>
    <w:rsid w:val="198202DA"/>
    <w:rsid w:val="19AF7A44"/>
    <w:rsid w:val="1A6109EF"/>
    <w:rsid w:val="1B424E9E"/>
    <w:rsid w:val="1BB07761"/>
    <w:rsid w:val="1C2A54A9"/>
    <w:rsid w:val="1C3737FD"/>
    <w:rsid w:val="1C88403A"/>
    <w:rsid w:val="1CB729A5"/>
    <w:rsid w:val="1CC56B97"/>
    <w:rsid w:val="1D34682A"/>
    <w:rsid w:val="1D4A73D5"/>
    <w:rsid w:val="1D9C2D67"/>
    <w:rsid w:val="1DAF458D"/>
    <w:rsid w:val="1DE34574"/>
    <w:rsid w:val="1F77716A"/>
    <w:rsid w:val="1F825A11"/>
    <w:rsid w:val="206034DD"/>
    <w:rsid w:val="20DF6845"/>
    <w:rsid w:val="223F42D4"/>
    <w:rsid w:val="233B4784"/>
    <w:rsid w:val="233E5923"/>
    <w:rsid w:val="236A6149"/>
    <w:rsid w:val="23B146B9"/>
    <w:rsid w:val="240038BA"/>
    <w:rsid w:val="240A65B7"/>
    <w:rsid w:val="263D5951"/>
    <w:rsid w:val="265E582C"/>
    <w:rsid w:val="26E147D1"/>
    <w:rsid w:val="27004B43"/>
    <w:rsid w:val="27B248A0"/>
    <w:rsid w:val="283F1644"/>
    <w:rsid w:val="287C6FB4"/>
    <w:rsid w:val="28B4796C"/>
    <w:rsid w:val="29770D57"/>
    <w:rsid w:val="29A000F0"/>
    <w:rsid w:val="29D21E13"/>
    <w:rsid w:val="2A053397"/>
    <w:rsid w:val="2AB554B8"/>
    <w:rsid w:val="2B0377CD"/>
    <w:rsid w:val="2B6B66AA"/>
    <w:rsid w:val="2BFE2EF0"/>
    <w:rsid w:val="2C1E18A5"/>
    <w:rsid w:val="2C604703"/>
    <w:rsid w:val="2D1136DF"/>
    <w:rsid w:val="2D2B5CBF"/>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6D09C0"/>
    <w:rsid w:val="354A37A9"/>
    <w:rsid w:val="36273CF4"/>
    <w:rsid w:val="36827C07"/>
    <w:rsid w:val="36AA5F52"/>
    <w:rsid w:val="36C058A7"/>
    <w:rsid w:val="36E000FD"/>
    <w:rsid w:val="374146AF"/>
    <w:rsid w:val="37D36EBD"/>
    <w:rsid w:val="399731E4"/>
    <w:rsid w:val="3ADE39A4"/>
    <w:rsid w:val="3AFB1A4C"/>
    <w:rsid w:val="3B610B0E"/>
    <w:rsid w:val="3BF672B3"/>
    <w:rsid w:val="3BF67B6E"/>
    <w:rsid w:val="3C530331"/>
    <w:rsid w:val="3CBB22B3"/>
    <w:rsid w:val="3CC7093B"/>
    <w:rsid w:val="3CC80DC0"/>
    <w:rsid w:val="3D1309DF"/>
    <w:rsid w:val="3D217D96"/>
    <w:rsid w:val="3D5275AC"/>
    <w:rsid w:val="3DED65A8"/>
    <w:rsid w:val="3DFE4E4B"/>
    <w:rsid w:val="3E160417"/>
    <w:rsid w:val="3E4F50AC"/>
    <w:rsid w:val="40161B73"/>
    <w:rsid w:val="4079165E"/>
    <w:rsid w:val="41AD1AA2"/>
    <w:rsid w:val="41B20E4F"/>
    <w:rsid w:val="41D31F00"/>
    <w:rsid w:val="42B76840"/>
    <w:rsid w:val="43316970"/>
    <w:rsid w:val="4421165A"/>
    <w:rsid w:val="44467526"/>
    <w:rsid w:val="44CF4655"/>
    <w:rsid w:val="45A87853"/>
    <w:rsid w:val="45AD0B65"/>
    <w:rsid w:val="45D7016A"/>
    <w:rsid w:val="46901EEE"/>
    <w:rsid w:val="469C74D2"/>
    <w:rsid w:val="46DC1114"/>
    <w:rsid w:val="46FA6D28"/>
    <w:rsid w:val="473F39FE"/>
    <w:rsid w:val="476D2E32"/>
    <w:rsid w:val="47801D21"/>
    <w:rsid w:val="47FF5A3B"/>
    <w:rsid w:val="48F9688C"/>
    <w:rsid w:val="490B0284"/>
    <w:rsid w:val="492D17D3"/>
    <w:rsid w:val="493A3870"/>
    <w:rsid w:val="4A1207ED"/>
    <w:rsid w:val="4A9D77CC"/>
    <w:rsid w:val="4AF5079B"/>
    <w:rsid w:val="4B345CA5"/>
    <w:rsid w:val="4B701753"/>
    <w:rsid w:val="4BEB2AE8"/>
    <w:rsid w:val="4C181618"/>
    <w:rsid w:val="4C6D3066"/>
    <w:rsid w:val="4CB3745D"/>
    <w:rsid w:val="4D391693"/>
    <w:rsid w:val="4DA93660"/>
    <w:rsid w:val="4DD406E5"/>
    <w:rsid w:val="4DF31F55"/>
    <w:rsid w:val="4E535897"/>
    <w:rsid w:val="4F195BC9"/>
    <w:rsid w:val="4F1E5DEB"/>
    <w:rsid w:val="4F714843"/>
    <w:rsid w:val="4FCE528B"/>
    <w:rsid w:val="5004002B"/>
    <w:rsid w:val="500A528D"/>
    <w:rsid w:val="50D87915"/>
    <w:rsid w:val="50DB5F45"/>
    <w:rsid w:val="510B4945"/>
    <w:rsid w:val="511D7E14"/>
    <w:rsid w:val="51554269"/>
    <w:rsid w:val="516A2E8A"/>
    <w:rsid w:val="517134A1"/>
    <w:rsid w:val="51BB37A4"/>
    <w:rsid w:val="52163B23"/>
    <w:rsid w:val="523D322D"/>
    <w:rsid w:val="52C01CAC"/>
    <w:rsid w:val="530335BC"/>
    <w:rsid w:val="535F2703"/>
    <w:rsid w:val="549741F3"/>
    <w:rsid w:val="56146D24"/>
    <w:rsid w:val="56547F9B"/>
    <w:rsid w:val="568D63A8"/>
    <w:rsid w:val="569D71D3"/>
    <w:rsid w:val="570E289D"/>
    <w:rsid w:val="57211AEC"/>
    <w:rsid w:val="57AF4592"/>
    <w:rsid w:val="5813797A"/>
    <w:rsid w:val="58344842"/>
    <w:rsid w:val="588E1D40"/>
    <w:rsid w:val="58E4063C"/>
    <w:rsid w:val="58F356A0"/>
    <w:rsid w:val="58FB4926"/>
    <w:rsid w:val="5A8C5C64"/>
    <w:rsid w:val="5B0A3C7C"/>
    <w:rsid w:val="5C145D5F"/>
    <w:rsid w:val="5C8850C2"/>
    <w:rsid w:val="5DE43C4B"/>
    <w:rsid w:val="5E256662"/>
    <w:rsid w:val="5E8D0FF0"/>
    <w:rsid w:val="5EA92E5B"/>
    <w:rsid w:val="5F312B5A"/>
    <w:rsid w:val="5F3A544C"/>
    <w:rsid w:val="5F421F4F"/>
    <w:rsid w:val="5F932967"/>
    <w:rsid w:val="600C4334"/>
    <w:rsid w:val="607C007C"/>
    <w:rsid w:val="60EE637C"/>
    <w:rsid w:val="610F4386"/>
    <w:rsid w:val="610F76A0"/>
    <w:rsid w:val="613B2291"/>
    <w:rsid w:val="616F6C82"/>
    <w:rsid w:val="61C23CA5"/>
    <w:rsid w:val="625B5AF2"/>
    <w:rsid w:val="62A91F52"/>
    <w:rsid w:val="62B07C56"/>
    <w:rsid w:val="64350E40"/>
    <w:rsid w:val="64766BFD"/>
    <w:rsid w:val="647D0508"/>
    <w:rsid w:val="6537230D"/>
    <w:rsid w:val="656325C7"/>
    <w:rsid w:val="65BF2B26"/>
    <w:rsid w:val="65CF3090"/>
    <w:rsid w:val="65D57A52"/>
    <w:rsid w:val="668019BE"/>
    <w:rsid w:val="668147BE"/>
    <w:rsid w:val="66A71241"/>
    <w:rsid w:val="67CB7D39"/>
    <w:rsid w:val="69316E1A"/>
    <w:rsid w:val="69554902"/>
    <w:rsid w:val="69A94B4A"/>
    <w:rsid w:val="69AD798C"/>
    <w:rsid w:val="69C70FA3"/>
    <w:rsid w:val="69E5430E"/>
    <w:rsid w:val="6A197EE3"/>
    <w:rsid w:val="6A4F6540"/>
    <w:rsid w:val="6A733F65"/>
    <w:rsid w:val="6AAD748A"/>
    <w:rsid w:val="6B4F02DD"/>
    <w:rsid w:val="6B68175F"/>
    <w:rsid w:val="6B8E27EF"/>
    <w:rsid w:val="6C360AF8"/>
    <w:rsid w:val="6C6B3009"/>
    <w:rsid w:val="6C6B3214"/>
    <w:rsid w:val="6C747BB9"/>
    <w:rsid w:val="6D3D14C4"/>
    <w:rsid w:val="6DF26FFC"/>
    <w:rsid w:val="6E094282"/>
    <w:rsid w:val="6ED34999"/>
    <w:rsid w:val="6F29157B"/>
    <w:rsid w:val="6F531BF4"/>
    <w:rsid w:val="700F486D"/>
    <w:rsid w:val="701074C0"/>
    <w:rsid w:val="707F51EF"/>
    <w:rsid w:val="71833EC6"/>
    <w:rsid w:val="718D4E0D"/>
    <w:rsid w:val="71AE7AA3"/>
    <w:rsid w:val="71CA2249"/>
    <w:rsid w:val="721E4A5D"/>
    <w:rsid w:val="72EE56CB"/>
    <w:rsid w:val="73406D5B"/>
    <w:rsid w:val="738E33C3"/>
    <w:rsid w:val="73FB6630"/>
    <w:rsid w:val="750B5BF1"/>
    <w:rsid w:val="75B51FC0"/>
    <w:rsid w:val="75B60031"/>
    <w:rsid w:val="76DD091D"/>
    <w:rsid w:val="77466E92"/>
    <w:rsid w:val="774B26E2"/>
    <w:rsid w:val="77720CA8"/>
    <w:rsid w:val="77ED6F44"/>
    <w:rsid w:val="78224413"/>
    <w:rsid w:val="78FD1F20"/>
    <w:rsid w:val="79870A12"/>
    <w:rsid w:val="7A1C6325"/>
    <w:rsid w:val="7A7632AD"/>
    <w:rsid w:val="7AC8434A"/>
    <w:rsid w:val="7B3910B5"/>
    <w:rsid w:val="7B4C7884"/>
    <w:rsid w:val="7B902D83"/>
    <w:rsid w:val="7BAB7A6D"/>
    <w:rsid w:val="7D5B7B53"/>
    <w:rsid w:val="7D710817"/>
    <w:rsid w:val="7F8F3BEC"/>
    <w:rsid w:val="7FD64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Administrator</cp:lastModifiedBy>
  <dcterms:modified xsi:type="dcterms:W3CDTF">2021-09-16T04:50:31Z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58240A701613457BB24A0FE0F01EE863</vt:lpwstr>
  </property>
</Properties>
</file>