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关于拨付2021年中央财政优抚对象补助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44"/>
          <w:szCs w:val="44"/>
          <w:lang w:eastAsia="zh-CN"/>
        </w:rPr>
        <w:t>经费预算（第二批）的通知</w:t>
      </w:r>
    </w:p>
    <w:p>
      <w:pPr>
        <w:spacing w:line="520" w:lineRule="exact"/>
        <w:jc w:val="center"/>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民丰县</w:t>
      </w:r>
      <w:r>
        <w:rPr>
          <w:rFonts w:hint="eastAsia" w:ascii="仿宋_GB2312" w:hAnsi="仿宋_GB2312" w:eastAsia="仿宋_GB2312" w:cs="仿宋_GB2312"/>
          <w:sz w:val="32"/>
          <w:szCs w:val="32"/>
          <w:lang w:val="en-US" w:eastAsia="zh-CN"/>
        </w:rPr>
        <w:t>退役军人事务局</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626" w:firstLineChars="200"/>
        <w:jc w:val="both"/>
        <w:textAlignment w:val="auto"/>
        <w:outlineLvl w:val="9"/>
        <w:rPr>
          <w:rFonts w:hint="eastAsia" w:ascii="仿宋_GB2312" w:eastAsia="仿宋_GB2312"/>
          <w:w w:val="98"/>
          <w:sz w:val="32"/>
          <w:szCs w:val="32"/>
          <w:lang w:val="en-US" w:eastAsia="zh-CN"/>
        </w:rPr>
      </w:pPr>
      <w:r>
        <w:rPr>
          <w:rFonts w:hint="eastAsia" w:ascii="仿宋_GB2312" w:eastAsia="仿宋_GB2312"/>
          <w:w w:val="98"/>
          <w:sz w:val="32"/>
          <w:szCs w:val="32"/>
          <w:lang w:eastAsia="zh-CN"/>
        </w:rPr>
        <w:t>为落实优抚对象各项生活待遇，根据</w:t>
      </w:r>
      <w:r>
        <w:rPr>
          <w:rFonts w:hint="eastAsia" w:ascii="仿宋_GB2312" w:eastAsia="仿宋_GB2312"/>
          <w:w w:val="98"/>
          <w:sz w:val="32"/>
          <w:szCs w:val="32"/>
          <w:lang w:val="en-US" w:eastAsia="zh-CN"/>
        </w:rPr>
        <w:t>和田地区财政局</w:t>
      </w:r>
      <w:r>
        <w:rPr>
          <w:rFonts w:hint="eastAsia" w:ascii="仿宋_GB2312" w:eastAsia="仿宋_GB2312"/>
          <w:w w:val="98"/>
          <w:sz w:val="32"/>
          <w:szCs w:val="32"/>
          <w:lang w:eastAsia="zh-CN"/>
        </w:rPr>
        <w:t>《关于拨付2021年中央财政优抚对象补助经费预算（第二批）的通知</w:t>
      </w:r>
      <w:r>
        <w:rPr>
          <w:rFonts w:hint="eastAsia" w:ascii="仿宋_GB2312" w:eastAsia="仿宋_GB2312"/>
          <w:w w:val="98"/>
          <w:sz w:val="32"/>
          <w:szCs w:val="32"/>
          <w:lang w:val="en-US" w:eastAsia="zh-CN"/>
        </w:rPr>
        <w:t>》（和地财社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w:t>
      </w:r>
      <w:r>
        <w:rPr>
          <w:rFonts w:hint="eastAsia" w:ascii="仿宋_GB2312" w:eastAsia="仿宋_GB2312"/>
          <w:w w:val="98"/>
          <w:sz w:val="32"/>
          <w:szCs w:val="32"/>
          <w:lang w:val="en-US" w:eastAsia="zh-CN"/>
        </w:rPr>
        <w:t>47号），现拨付你</w:t>
      </w:r>
      <w:r>
        <w:rPr>
          <w:rFonts w:hint="eastAsia" w:ascii="仿宋_GB2312" w:eastAsia="仿宋_GB2312"/>
          <w:sz w:val="32"/>
          <w:szCs w:val="32"/>
          <w:lang w:eastAsia="zh-CN"/>
        </w:rPr>
        <w:t>单位</w:t>
      </w:r>
      <w:r>
        <w:rPr>
          <w:rFonts w:hint="eastAsia" w:ascii="仿宋_GB2312" w:eastAsia="仿宋_GB2312"/>
          <w:sz w:val="32"/>
          <w:szCs w:val="32"/>
          <w:lang w:val="en-US" w:eastAsia="zh-CN"/>
        </w:rPr>
        <w:t>2021年中央财政</w:t>
      </w:r>
      <w:r>
        <w:rPr>
          <w:rFonts w:hint="eastAsia" w:ascii="仿宋_GB2312" w:eastAsia="仿宋_GB2312"/>
          <w:w w:val="98"/>
          <w:sz w:val="32"/>
          <w:szCs w:val="32"/>
          <w:lang w:val="en-US" w:eastAsia="zh-CN"/>
        </w:rPr>
        <w:t>优抚对象补助经费（第二批）0.98万元，现将有关事宜通知如下：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right="0" w:rightChars="0" w:firstLine="626" w:firstLineChars="200"/>
        <w:jc w:val="both"/>
        <w:textAlignment w:val="auto"/>
        <w:outlineLvl w:val="9"/>
        <w:rPr>
          <w:rFonts w:hint="eastAsia" w:ascii="仿宋_GB2312" w:eastAsia="仿宋_GB2312"/>
          <w:w w:val="98"/>
          <w:sz w:val="32"/>
          <w:szCs w:val="32"/>
          <w:lang w:val="en-US" w:eastAsia="zh-CN"/>
        </w:rPr>
      </w:pPr>
      <w:r>
        <w:rPr>
          <w:rFonts w:hint="eastAsia" w:ascii="仿宋_GB2312" w:eastAsia="仿宋_GB2312"/>
          <w:w w:val="98"/>
          <w:sz w:val="32"/>
          <w:szCs w:val="32"/>
          <w:lang w:val="en-US" w:eastAsia="zh-CN"/>
        </w:rPr>
        <w:t>一、此次下拨的经费主要用于两个方面：一是伤残人员（含残疾军人、伤残人民警察、伤残国家机关工作人员、伤残民兵民工），“三红”（在乡退伍红军老战士、在乡西路军红军老战士、红军失散人员），“三属”（烈士、因公牺牲和病故军人家属），在乡老复员军人、带病回乡退伍军人，在农村的和城镇无工作单位且家庭生活困难的参战退役人员、部分原8023部队及其他参加核试验军队退役人员，以及符合条件的农村籍退役士兵、老烈士子女（含建国前错杀后被平反人员的子女）、参与铀矿开采军队退役人员等人员的抚恤和生活补助支出。二是调整建国前入党的农村老党员和未享受离退休待遇的城镇老党员发放生活补贴的补助支出（含建党百年一次性生活补助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626" w:firstLineChars="200"/>
        <w:jc w:val="both"/>
        <w:textAlignment w:val="auto"/>
        <w:outlineLvl w:val="9"/>
        <w:rPr>
          <w:rFonts w:hint="eastAsia" w:ascii="仿宋_GB2312" w:eastAsia="仿宋_GB2312"/>
          <w:w w:val="98"/>
          <w:sz w:val="32"/>
          <w:szCs w:val="32"/>
          <w:lang w:val="en-US" w:eastAsia="zh-CN"/>
        </w:rPr>
      </w:pPr>
      <w:r>
        <w:rPr>
          <w:rFonts w:hint="eastAsia" w:ascii="仿宋_GB2312" w:eastAsia="仿宋_GB2312"/>
          <w:w w:val="98"/>
          <w:sz w:val="32"/>
          <w:szCs w:val="32"/>
          <w:lang w:val="en-US" w:eastAsia="zh-CN"/>
        </w:rPr>
        <w:t>二、该项指标收入请列入2021年政府收支分类科目第“1100248社会保障和就业共同财政事权转移支付收入”科目。一般转移支付支出列“2300248社会保障和就业共同财政事权转移支付支出”，政府经济分类列“51301上下级政府间转移性支出”科目，部门经济分类列“30305生活补助”。支出功能科目列“2080802伤残抚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626" w:firstLineChars="200"/>
        <w:jc w:val="both"/>
        <w:textAlignment w:val="auto"/>
        <w:outlineLvl w:val="9"/>
        <w:rPr>
          <w:rFonts w:hint="eastAsia" w:ascii="仿宋_GB2312" w:eastAsia="仿宋_GB2312"/>
          <w:w w:val="98"/>
          <w:sz w:val="32"/>
          <w:szCs w:val="32"/>
          <w:lang w:val="en-US" w:eastAsia="zh-CN"/>
        </w:rPr>
      </w:pPr>
      <w:r>
        <w:rPr>
          <w:rFonts w:hint="eastAsia" w:ascii="仿宋_GB2312" w:eastAsia="仿宋_GB2312"/>
          <w:w w:val="98"/>
          <w:sz w:val="32"/>
          <w:szCs w:val="32"/>
          <w:lang w:val="en-US" w:eastAsia="zh-CN"/>
        </w:rPr>
        <w:t>三、此次下达的优抚对象补助资金列入直达资金管理，标识为“01中央直达资金”，此标识贯穿资金分配、拨付、使用等整个环节，且保持不变。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626" w:firstLineChars="200"/>
        <w:jc w:val="both"/>
        <w:textAlignment w:val="auto"/>
        <w:outlineLvl w:val="9"/>
        <w:rPr>
          <w:rFonts w:hint="eastAsia" w:ascii="仿宋_GB2312" w:eastAsia="仿宋_GB2312"/>
          <w:sz w:val="32"/>
          <w:szCs w:val="32"/>
          <w:lang w:eastAsia="zh-CN"/>
        </w:rPr>
      </w:pPr>
      <w:r>
        <w:rPr>
          <w:rFonts w:hint="eastAsia" w:ascii="仿宋_GB2312" w:eastAsia="仿宋_GB2312"/>
          <w:w w:val="98"/>
          <w:sz w:val="32"/>
          <w:szCs w:val="32"/>
          <w:lang w:val="en-US" w:eastAsia="zh-CN"/>
        </w:rPr>
        <w:t>四、你单位</w:t>
      </w:r>
      <w:r>
        <w:rPr>
          <w:rFonts w:hint="eastAsia" w:ascii="仿宋_GB2312" w:eastAsia="仿宋_GB2312"/>
          <w:sz w:val="32"/>
          <w:szCs w:val="32"/>
          <w:lang w:eastAsia="zh-CN"/>
        </w:rPr>
        <w:t>要认真落实中央和自治区绩效管理工作部署，切实强化优抚对象补助资金绩效管理，健全绩效管理制度，加强绩效管理责任约束，及时分解区域绩效目标，做好绩效目标完成情况、效益与预期目标偏差情况等进行跟踪监控，切实做到花钱必问效、无效必问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640" w:firstLineChars="200"/>
        <w:jc w:val="both"/>
        <w:textAlignment w:val="auto"/>
        <w:outlineLvl w:val="9"/>
        <w:rPr>
          <w:rFonts w:hint="eastAsia" w:ascii="仿宋_GB2312" w:eastAsia="仿宋_GB2312"/>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626" w:firstLineChars="200"/>
        <w:jc w:val="center"/>
        <w:textAlignment w:val="auto"/>
        <w:outlineLvl w:val="9"/>
        <w:rPr>
          <w:rFonts w:hint="eastAsia" w:ascii="仿宋_GB2312" w:eastAsia="仿宋_GB2312"/>
          <w:w w:val="98"/>
          <w:sz w:val="32"/>
          <w:szCs w:val="32"/>
          <w:lang w:val="en-US" w:eastAsia="zh-CN"/>
        </w:rPr>
      </w:pPr>
      <w:r>
        <w:rPr>
          <w:rFonts w:hint="eastAsia" w:ascii="仿宋_GB2312" w:eastAsia="仿宋_GB2312"/>
          <w:w w:val="98"/>
          <w:sz w:val="32"/>
          <w:szCs w:val="32"/>
          <w:lang w:val="en-US" w:eastAsia="zh-CN"/>
        </w:rPr>
        <w:t>民丰县财政局</w:t>
      </w:r>
    </w:p>
    <w:p>
      <w:pPr>
        <w:keepNext w:val="0"/>
        <w:keepLines w:val="0"/>
        <w:pageBreakBefore w:val="0"/>
        <w:widowControl w:val="0"/>
        <w:kinsoku/>
        <w:wordWrap/>
        <w:overflowPunct/>
        <w:topLinePunct w:val="0"/>
        <w:autoSpaceDE/>
        <w:autoSpaceDN/>
        <w:bidi w:val="0"/>
        <w:adjustRightInd/>
        <w:snapToGrid/>
        <w:spacing w:line="360" w:lineRule="exact"/>
        <w:ind w:firstLine="284"/>
        <w:jc w:val="center"/>
        <w:textAlignment w:val="auto"/>
        <w:rPr>
          <w:rFonts w:ascii="黑体" w:hAnsi="黑体" w:eastAsia="黑体"/>
          <w:sz w:val="36"/>
          <w:szCs w:val="36"/>
        </w:rPr>
        <w:sectPr>
          <w:pgSz w:w="11906" w:h="16838"/>
          <w:pgMar w:top="1701" w:right="1418" w:bottom="1418" w:left="1418" w:header="851" w:footer="992" w:gutter="0"/>
          <w:cols w:space="425" w:num="1"/>
          <w:docGrid w:type="lines" w:linePitch="312" w:charSpace="0"/>
        </w:sectPr>
      </w:pPr>
      <w:r>
        <w:rPr>
          <w:rFonts w:ascii="仿宋_GB2312" w:eastAsia="仿宋_GB2312"/>
          <w:sz w:val="32"/>
        </w:rPr>
        <w:t>202</w:t>
      </w:r>
      <w:r>
        <w:rPr>
          <w:rFonts w:hint="eastAsia" w:ascii="仿宋_GB2312" w:eastAsia="仿宋_GB2312"/>
          <w:sz w:val="32"/>
          <w:lang w:val="en-US" w:eastAsia="zh-CN"/>
        </w:rPr>
        <w:t>1</w:t>
      </w:r>
      <w:r>
        <w:rPr>
          <w:rFonts w:hint="eastAsia" w:ascii="仿宋_GB2312" w:eastAsia="仿宋_GB2312"/>
          <w:sz w:val="32"/>
        </w:rPr>
        <w:t>年</w:t>
      </w:r>
      <w:r>
        <w:rPr>
          <w:rFonts w:hint="eastAsia" w:ascii="仿宋_GB2312" w:eastAsia="仿宋_GB2312"/>
          <w:sz w:val="32"/>
          <w:lang w:val="en-US" w:eastAsia="zh-CN"/>
        </w:rPr>
        <w:t>8</w:t>
      </w:r>
      <w:r>
        <w:rPr>
          <w:rFonts w:hint="eastAsia" w:ascii="仿宋_GB2312" w:eastAsia="仿宋_GB2312"/>
          <w:sz w:val="32"/>
        </w:rPr>
        <w:t>月</w:t>
      </w:r>
      <w:r>
        <w:rPr>
          <w:rFonts w:hint="eastAsia" w:ascii="仿宋_GB2312" w:eastAsia="仿宋_GB2312"/>
          <w:sz w:val="32"/>
          <w:lang w:val="en-US" w:eastAsia="zh-CN"/>
        </w:rPr>
        <w:t>26</w:t>
      </w:r>
      <w:r>
        <w:rPr>
          <w:rFonts w:hint="eastAsia" w:ascii="仿宋_GB2312" w:eastAsia="仿宋_GB2312"/>
          <w:sz w:val="32"/>
        </w:rPr>
        <w:t>日</w:t>
      </w:r>
    </w:p>
    <w:p>
      <w:pPr>
        <w:spacing w:line="660" w:lineRule="exact"/>
        <w:jc w:val="both"/>
        <w:rPr>
          <w:rFonts w:ascii="仿宋_GB2312" w:eastAsia="仿宋_GB2312"/>
          <w:sz w:val="32"/>
        </w:rPr>
      </w:pPr>
    </w:p>
    <w:p>
      <w:pPr>
        <w:spacing w:line="660" w:lineRule="exact"/>
        <w:jc w:val="both"/>
        <w:rPr>
          <w:rFonts w:ascii="仿宋_GB2312" w:eastAsia="仿宋_GB2312"/>
          <w:sz w:val="32"/>
        </w:rPr>
      </w:pPr>
    </w:p>
    <w:sectPr>
      <w:pgSz w:w="16838" w:h="11906" w:orient="landscape"/>
      <w:pgMar w:top="1418" w:right="1701" w:bottom="1418"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宋黑简体">
    <w:altName w:val="宋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12D8E"/>
    <w:multiLevelType w:val="singleLevel"/>
    <w:tmpl w:val="5EB12D8E"/>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48A"/>
    <w:rsid w:val="000615E6"/>
    <w:rsid w:val="000677A8"/>
    <w:rsid w:val="000B3206"/>
    <w:rsid w:val="000D7649"/>
    <w:rsid w:val="000F2A3F"/>
    <w:rsid w:val="001069EF"/>
    <w:rsid w:val="001C06AB"/>
    <w:rsid w:val="001D00DE"/>
    <w:rsid w:val="002575E0"/>
    <w:rsid w:val="002858CD"/>
    <w:rsid w:val="0029272E"/>
    <w:rsid w:val="002A6296"/>
    <w:rsid w:val="00300031"/>
    <w:rsid w:val="00301174"/>
    <w:rsid w:val="003E1E52"/>
    <w:rsid w:val="00400431"/>
    <w:rsid w:val="00457423"/>
    <w:rsid w:val="00466C86"/>
    <w:rsid w:val="00471F4E"/>
    <w:rsid w:val="004F04F7"/>
    <w:rsid w:val="005D20E4"/>
    <w:rsid w:val="0061778F"/>
    <w:rsid w:val="006712B9"/>
    <w:rsid w:val="0070357B"/>
    <w:rsid w:val="007065B7"/>
    <w:rsid w:val="00742500"/>
    <w:rsid w:val="00794A3F"/>
    <w:rsid w:val="007D73C8"/>
    <w:rsid w:val="008346BE"/>
    <w:rsid w:val="00852934"/>
    <w:rsid w:val="008A176C"/>
    <w:rsid w:val="008D1479"/>
    <w:rsid w:val="0091094A"/>
    <w:rsid w:val="0091233D"/>
    <w:rsid w:val="009613F5"/>
    <w:rsid w:val="009B5D59"/>
    <w:rsid w:val="009C3618"/>
    <w:rsid w:val="009D0FA2"/>
    <w:rsid w:val="009D6BDA"/>
    <w:rsid w:val="00A150F4"/>
    <w:rsid w:val="00A368EB"/>
    <w:rsid w:val="00A370EF"/>
    <w:rsid w:val="00A77715"/>
    <w:rsid w:val="00AA0A80"/>
    <w:rsid w:val="00AA62C0"/>
    <w:rsid w:val="00AE601C"/>
    <w:rsid w:val="00B145BF"/>
    <w:rsid w:val="00B61A69"/>
    <w:rsid w:val="00B72ECC"/>
    <w:rsid w:val="00B90376"/>
    <w:rsid w:val="00BA4F21"/>
    <w:rsid w:val="00BB748A"/>
    <w:rsid w:val="00BC575A"/>
    <w:rsid w:val="00BD43ED"/>
    <w:rsid w:val="00C166D7"/>
    <w:rsid w:val="00CB6213"/>
    <w:rsid w:val="00CC5115"/>
    <w:rsid w:val="00D54EF2"/>
    <w:rsid w:val="00D868B1"/>
    <w:rsid w:val="00DF19A2"/>
    <w:rsid w:val="00E45FC8"/>
    <w:rsid w:val="00EC7D50"/>
    <w:rsid w:val="00F731E6"/>
    <w:rsid w:val="00FE50EE"/>
    <w:rsid w:val="03FF20C3"/>
    <w:rsid w:val="04A44916"/>
    <w:rsid w:val="06E947BE"/>
    <w:rsid w:val="0E6F2543"/>
    <w:rsid w:val="139B1AEC"/>
    <w:rsid w:val="27980115"/>
    <w:rsid w:val="27D626A4"/>
    <w:rsid w:val="2BC80134"/>
    <w:rsid w:val="2D122E0A"/>
    <w:rsid w:val="2D4D79F2"/>
    <w:rsid w:val="2DD2541B"/>
    <w:rsid w:val="2EBA75B8"/>
    <w:rsid w:val="329D505A"/>
    <w:rsid w:val="414E0A3F"/>
    <w:rsid w:val="434415C4"/>
    <w:rsid w:val="52AA2A87"/>
    <w:rsid w:val="7C442261"/>
    <w:rsid w:val="7D6D4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7"/>
    <w:qFormat/>
    <w:uiPriority w:val="0"/>
    <w:pPr>
      <w:keepNext/>
      <w:keepLines/>
      <w:spacing w:before="340" w:after="330" w:line="576" w:lineRule="auto"/>
      <w:jc w:val="center"/>
      <w:outlineLvl w:val="0"/>
    </w:pPr>
    <w:rPr>
      <w:rFonts w:ascii="Times New Roman" w:hAnsi="Times New Roman" w:eastAsia="方正小标宋简体" w:cs="Times New Roman"/>
      <w:kern w:val="44"/>
      <w:sz w:val="44"/>
      <w:szCs w:val="20"/>
    </w:rPr>
  </w:style>
  <w:style w:type="paragraph" w:styleId="3">
    <w:name w:val="heading 2"/>
    <w:basedOn w:val="1"/>
    <w:next w:val="1"/>
    <w:link w:val="18"/>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Indent"/>
    <w:basedOn w:val="1"/>
    <w:link w:val="19"/>
    <w:unhideWhenUsed/>
    <w:qFormat/>
    <w:uiPriority w:val="99"/>
    <w:pPr>
      <w:spacing w:line="480" w:lineRule="exact"/>
      <w:ind w:left="899" w:leftChars="114" w:hanging="660" w:hangingChars="275"/>
    </w:pPr>
    <w:rPr>
      <w:rFonts w:ascii="Times New Roman" w:hAnsi="Times New Roman" w:eastAsia="仿宋_GB2312" w:cs="Times New Roman"/>
      <w:sz w:val="24"/>
    </w:rPr>
  </w:style>
  <w:style w:type="paragraph" w:styleId="5">
    <w:name w:val="Date"/>
    <w:basedOn w:val="1"/>
    <w:next w:val="1"/>
    <w:link w:val="23"/>
    <w:unhideWhenUsed/>
    <w:qFormat/>
    <w:uiPriority w:val="99"/>
    <w:pPr>
      <w:ind w:left="100" w:leftChars="2500"/>
    </w:pPr>
    <w:rPr>
      <w:rFonts w:ascii="仿宋_GB2312" w:hAnsi="Times New Roman" w:eastAsia="仿宋_GB2312" w:cs="Times New Roman"/>
      <w:sz w:val="30"/>
    </w:rPr>
  </w:style>
  <w:style w:type="paragraph" w:styleId="6">
    <w:name w:val="Balloon Text"/>
    <w:basedOn w:val="1"/>
    <w:link w:val="20"/>
    <w:semiHidden/>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qFormat/>
    <w:uiPriority w:val="22"/>
    <w:rPr>
      <w:b/>
      <w:bCs/>
    </w:rPr>
  </w:style>
  <w:style w:type="character" w:styleId="13">
    <w:name w:val="Emphasis"/>
    <w:qFormat/>
    <w:uiPriority w:val="20"/>
    <w:rPr>
      <w:i/>
    </w:rPr>
  </w:style>
  <w:style w:type="paragraph" w:customStyle="1" w:styleId="14">
    <w:name w:val="普通(网站)1"/>
    <w:basedOn w:val="1"/>
    <w:qFormat/>
    <w:uiPriority w:val="0"/>
    <w:pPr>
      <w:spacing w:beforeAutospacing="1" w:afterAutospacing="1"/>
      <w:jc w:val="left"/>
    </w:pPr>
    <w:rPr>
      <w:kern w:val="0"/>
      <w:sz w:val="24"/>
    </w:rPr>
  </w:style>
  <w:style w:type="paragraph" w:customStyle="1" w:styleId="15">
    <w:name w:val="列出段落1"/>
    <w:basedOn w:val="1"/>
    <w:qFormat/>
    <w:uiPriority w:val="0"/>
    <w:pPr>
      <w:ind w:firstLine="420" w:firstLineChars="200"/>
    </w:pPr>
  </w:style>
  <w:style w:type="paragraph" w:customStyle="1" w:styleId="16">
    <w:name w:val="p15"/>
    <w:basedOn w:val="1"/>
    <w:qFormat/>
    <w:uiPriority w:val="0"/>
    <w:pPr>
      <w:widowControl/>
      <w:spacing w:before="100" w:after="100"/>
      <w:jc w:val="left"/>
    </w:pPr>
    <w:rPr>
      <w:rFonts w:ascii="宋体" w:hAnsi="宋体" w:cs="宋体"/>
      <w:kern w:val="0"/>
      <w:sz w:val="24"/>
    </w:rPr>
  </w:style>
  <w:style w:type="character" w:customStyle="1" w:styleId="17">
    <w:name w:val="标题 1 Char"/>
    <w:link w:val="2"/>
    <w:qFormat/>
    <w:uiPriority w:val="0"/>
    <w:rPr>
      <w:rFonts w:eastAsia="方正小标宋简体"/>
      <w:kern w:val="44"/>
      <w:sz w:val="44"/>
    </w:rPr>
  </w:style>
  <w:style w:type="character" w:customStyle="1" w:styleId="18">
    <w:name w:val="标题 2 Char"/>
    <w:basedOn w:val="11"/>
    <w:link w:val="3"/>
    <w:qFormat/>
    <w:uiPriority w:val="0"/>
    <w:rPr>
      <w:rFonts w:ascii="Arial" w:hAnsi="Arial" w:eastAsia="黑体"/>
      <w:b/>
      <w:bCs/>
      <w:kern w:val="2"/>
      <w:sz w:val="32"/>
      <w:szCs w:val="32"/>
    </w:rPr>
  </w:style>
  <w:style w:type="character" w:customStyle="1" w:styleId="19">
    <w:name w:val="正文文本缩进 Char"/>
    <w:basedOn w:val="11"/>
    <w:link w:val="4"/>
    <w:qFormat/>
    <w:uiPriority w:val="99"/>
    <w:rPr>
      <w:rFonts w:eastAsia="仿宋_GB2312"/>
      <w:kern w:val="2"/>
      <w:sz w:val="24"/>
      <w:szCs w:val="24"/>
    </w:rPr>
  </w:style>
  <w:style w:type="character" w:customStyle="1" w:styleId="20">
    <w:name w:val="批注框文本 Char"/>
    <w:basedOn w:val="11"/>
    <w:link w:val="6"/>
    <w:semiHidden/>
    <w:qFormat/>
    <w:uiPriority w:val="99"/>
    <w:rPr>
      <w:rFonts w:ascii="Calibri" w:hAnsi="Calibri" w:cs="黑体"/>
      <w:kern w:val="2"/>
      <w:sz w:val="18"/>
      <w:szCs w:val="18"/>
    </w:rPr>
  </w:style>
  <w:style w:type="character" w:customStyle="1" w:styleId="21">
    <w:name w:val="页眉 Char"/>
    <w:basedOn w:val="11"/>
    <w:link w:val="8"/>
    <w:qFormat/>
    <w:uiPriority w:val="99"/>
    <w:rPr>
      <w:rFonts w:ascii="Calibri" w:hAnsi="Calibri" w:cs="黑体"/>
      <w:kern w:val="2"/>
      <w:sz w:val="18"/>
      <w:szCs w:val="18"/>
    </w:rPr>
  </w:style>
  <w:style w:type="character" w:customStyle="1" w:styleId="22">
    <w:name w:val="页脚 Char"/>
    <w:basedOn w:val="11"/>
    <w:link w:val="7"/>
    <w:qFormat/>
    <w:uiPriority w:val="99"/>
    <w:rPr>
      <w:rFonts w:ascii="Calibri" w:hAnsi="Calibri" w:cs="黑体"/>
      <w:kern w:val="2"/>
      <w:sz w:val="18"/>
      <w:szCs w:val="18"/>
    </w:rPr>
  </w:style>
  <w:style w:type="character" w:customStyle="1" w:styleId="23">
    <w:name w:val="日期 Char"/>
    <w:basedOn w:val="11"/>
    <w:link w:val="5"/>
    <w:qFormat/>
    <w:uiPriority w:val="99"/>
    <w:rPr>
      <w:rFonts w:ascii="仿宋_GB2312" w:eastAsia="仿宋_GB2312"/>
      <w:kern w:val="2"/>
      <w:sz w:val="30"/>
      <w:szCs w:val="24"/>
    </w:rPr>
  </w:style>
  <w:style w:type="paragraph" w:customStyle="1" w:styleId="24">
    <w:name w:val="Table Paragraph"/>
    <w:basedOn w:val="1"/>
    <w:qFormat/>
    <w:uiPriority w:val="1"/>
    <w:pPr>
      <w:spacing w:before="123"/>
      <w:jc w:val="center"/>
    </w:pPr>
    <w:rPr>
      <w:rFonts w:ascii="宋体" w:hAnsi="宋体" w:cs="宋体"/>
      <w:szCs w:val="20"/>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212</Words>
  <Characters>1210</Characters>
  <Lines>10</Lines>
  <Paragraphs>2</Paragraphs>
  <TotalTime>2</TotalTime>
  <ScaleCrop>false</ScaleCrop>
  <LinksUpToDate>false</LinksUpToDate>
  <CharactersWithSpaces>1420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2018-04-08T02:34:00Z</dcterms:created>
  <dc:creator>admin</dc:creator>
  <cp:lastModifiedBy>Administrator</cp:lastModifiedBy>
  <cp:lastPrinted>2020-07-08T03:25:00Z</cp:lastPrinted>
  <dcterms:modified xsi:type="dcterms:W3CDTF">2021-08-26T10:35:21Z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