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auto"/>
        <w:jc w:val="left"/>
        <w:rPr>
          <w:rFonts w:ascii="仿宋" w:hAnsi="仿宋" w:eastAsia="仿宋" w:cs="仿宋"/>
          <w:sz w:val="32"/>
        </w:rPr>
      </w:pPr>
      <w:r>
        <w:rPr>
          <w:rFonts w:ascii="仿宋" w:hAnsi="仿宋" w:eastAsia="仿宋" w:cs="仿宋"/>
          <w:sz w:val="32"/>
        </w:rPr>
        <w:t>附件2：</w:t>
      </w:r>
    </w:p>
    <w:p>
      <w:pPr>
        <w:spacing w:line="540" w:lineRule="auto"/>
        <w:jc w:val="center"/>
        <w:rPr>
          <w:rFonts w:ascii="华文中宋" w:hAnsi="华文中宋" w:eastAsia="华文中宋" w:cs="华文中宋"/>
          <w:b/>
          <w:sz w:val="48"/>
          <w:u w:val="single" w:color="auto"/>
        </w:rPr>
      </w:pPr>
    </w:p>
    <w:p>
      <w:pPr>
        <w:spacing w:line="540" w:lineRule="auto"/>
        <w:jc w:val="center"/>
        <w:rPr>
          <w:rFonts w:ascii="仿宋" w:hAnsi="仿宋" w:eastAsia="仿宋" w:cs="宋体"/>
          <w:b/>
          <w:sz w:val="48"/>
        </w:rPr>
      </w:pPr>
      <w:r>
        <w:rPr>
          <w:rFonts w:hint="eastAsia" w:ascii="仿宋" w:hAnsi="仿宋" w:eastAsia="仿宋" w:cs="宋体"/>
          <w:b/>
          <w:sz w:val="48"/>
          <w:highlight w:val="none"/>
          <w:lang w:eastAsia="zh-CN"/>
        </w:rPr>
        <w:t>和田地区财政项目支出绩效自评报告</w:t>
      </w:r>
      <w:r>
        <w:rPr>
          <w:rFonts w:ascii="仿宋" w:hAnsi="仿宋" w:eastAsia="仿宋" w:cs="宋体"/>
          <w:b/>
          <w:sz w:val="48"/>
        </w:rPr>
        <w:t>（</w:t>
      </w:r>
      <w:r>
        <w:rPr>
          <w:rFonts w:hint="eastAsia" w:ascii="仿宋" w:hAnsi="仿宋" w:eastAsia="仿宋" w:cs="宋体"/>
          <w:b/>
          <w:sz w:val="48"/>
        </w:rPr>
        <w:t>2018</w:t>
      </w:r>
      <w:r>
        <w:rPr>
          <w:rFonts w:ascii="仿宋" w:hAnsi="仿宋" w:eastAsia="仿宋" w:cs="宋体"/>
          <w:b/>
          <w:sz w:val="48"/>
        </w:rPr>
        <w:t>年度）</w:t>
      </w:r>
    </w:p>
    <w:p>
      <w:pPr>
        <w:spacing w:line="540" w:lineRule="auto"/>
        <w:jc w:val="center"/>
        <w:rPr>
          <w:rFonts w:ascii="仿宋" w:hAnsi="仿宋" w:eastAsia="仿宋"/>
          <w:b/>
          <w:bCs/>
          <w:sz w:val="36"/>
        </w:rPr>
      </w:pPr>
    </w:p>
    <w:p>
      <w:pPr>
        <w:spacing w:line="540" w:lineRule="auto"/>
        <w:jc w:val="center"/>
        <w:rPr>
          <w:rFonts w:ascii="Times New Roman" w:hAnsi="Times New Roman" w:eastAsia="Times New Roman"/>
          <w:sz w:val="30"/>
        </w:rPr>
      </w:pPr>
    </w:p>
    <w:p>
      <w:pPr>
        <w:spacing w:line="540" w:lineRule="auto"/>
        <w:jc w:val="center"/>
        <w:rPr>
          <w:rFonts w:ascii="Times New Roman" w:hAnsi="Times New Roman" w:eastAsia="Times New Roman"/>
          <w:sz w:val="30"/>
        </w:rPr>
      </w:pPr>
    </w:p>
    <w:p>
      <w:pPr>
        <w:spacing w:line="540" w:lineRule="auto"/>
        <w:jc w:val="center"/>
        <w:rPr>
          <w:rFonts w:ascii="方正小标宋_GBK" w:hAnsi="方正小标宋_GBK" w:eastAsia="方正小标宋_GBK" w:cs="方正小标宋_GBK"/>
          <w:sz w:val="36"/>
        </w:rPr>
      </w:pPr>
    </w:p>
    <w:p>
      <w:pPr>
        <w:keepNext w:val="0"/>
        <w:keepLines w:val="0"/>
        <w:pageBreakBefore w:val="0"/>
        <w:widowControl w:val="0"/>
        <w:kinsoku/>
        <w:wordWrap/>
        <w:overflowPunct/>
        <w:topLinePunct w:val="0"/>
        <w:autoSpaceDE/>
        <w:autoSpaceDN/>
        <w:bidi w:val="0"/>
        <w:adjustRightInd/>
        <w:snapToGrid/>
        <w:spacing w:line="640" w:lineRule="exact"/>
        <w:ind w:left="1606" w:hanging="1606"/>
        <w:jc w:val="left"/>
        <w:textAlignment w:val="auto"/>
        <w:rPr>
          <w:rFonts w:hint="eastAsia" w:ascii="仿宋" w:hAnsi="仿宋" w:eastAsia="仿宋" w:cs="宋体"/>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1606" w:hanging="1606"/>
        <w:jc w:val="left"/>
        <w:textAlignment w:val="auto"/>
        <w:rPr>
          <w:rFonts w:hint="eastAsia" w:ascii="仿宋" w:hAnsi="仿宋" w:eastAsia="仿宋" w:cs="宋体"/>
          <w:b/>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left="1606" w:hanging="1606"/>
        <w:jc w:val="left"/>
        <w:textAlignment w:val="auto"/>
        <w:rPr>
          <w:rFonts w:hint="eastAsia" w:ascii="仿宋" w:hAnsi="仿宋" w:eastAsia="仿宋"/>
          <w:sz w:val="32"/>
          <w:szCs w:val="32"/>
        </w:rPr>
      </w:pPr>
      <w:r>
        <w:rPr>
          <w:rFonts w:hint="eastAsia" w:ascii="仿宋" w:hAnsi="仿宋" w:eastAsia="仿宋" w:cs="宋体"/>
          <w:b/>
          <w:bCs/>
          <w:sz w:val="32"/>
          <w:szCs w:val="32"/>
        </w:rPr>
        <w:t>项目名称：民丰县阿克塔什渠首泄洪闸后面加固工程</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宋体" w:hAnsi="宋体" w:eastAsia="仿宋_GB2312" w:cs="宋体"/>
          <w:sz w:val="36"/>
          <w:szCs w:val="36"/>
        </w:rPr>
      </w:pPr>
      <w:r>
        <w:rPr>
          <w:rFonts w:hint="eastAsia" w:ascii="仿宋" w:hAnsi="仿宋" w:eastAsia="仿宋" w:cs="宋体"/>
          <w:b/>
          <w:bCs/>
          <w:sz w:val="32"/>
          <w:szCs w:val="32"/>
        </w:rPr>
        <w:t>实施单位（公章）：民丰县水利管理站</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宋体" w:hAnsi="宋体" w:eastAsia="仿宋_GB2312" w:cs="宋体"/>
          <w:sz w:val="36"/>
          <w:szCs w:val="36"/>
        </w:rPr>
      </w:pPr>
      <w:r>
        <w:rPr>
          <w:rFonts w:hint="eastAsia" w:ascii="仿宋" w:hAnsi="仿宋" w:eastAsia="仿宋" w:cs="宋体"/>
          <w:b/>
          <w:bCs/>
          <w:sz w:val="32"/>
          <w:szCs w:val="32"/>
        </w:rPr>
        <w:t>主管部门（公章）：民丰县水利局</w:t>
      </w:r>
    </w:p>
    <w:p>
      <w:pPr>
        <w:keepNext w:val="0"/>
        <w:keepLines w:val="0"/>
        <w:pageBreakBefore w:val="0"/>
        <w:widowControl w:val="0"/>
        <w:kinsoku/>
        <w:wordWrap/>
        <w:overflowPunct/>
        <w:topLinePunct w:val="0"/>
        <w:autoSpaceDE/>
        <w:autoSpaceDN/>
        <w:bidi w:val="0"/>
        <w:adjustRightInd/>
        <w:snapToGrid/>
        <w:spacing w:line="640" w:lineRule="exact"/>
        <w:ind w:left="3213" w:hanging="3213"/>
        <w:textAlignment w:val="auto"/>
        <w:rPr>
          <w:rFonts w:ascii="宋体" w:hAnsi="宋体" w:eastAsia="仿宋_GB2312" w:cs="宋体"/>
          <w:sz w:val="36"/>
          <w:szCs w:val="36"/>
        </w:rPr>
      </w:pPr>
      <w:r>
        <w:rPr>
          <w:rFonts w:hint="eastAsia" w:ascii="仿宋" w:hAnsi="仿宋" w:eastAsia="仿宋" w:cs="宋体"/>
          <w:b/>
          <w:bCs/>
          <w:sz w:val="32"/>
          <w:szCs w:val="32"/>
        </w:rPr>
        <w:t>项目负责人（签章）：艾麦尔江</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ascii="仿宋" w:hAnsi="仿宋" w:eastAsia="仿宋" w:cs="宋体"/>
          <w:sz w:val="32"/>
          <w:szCs w:val="32"/>
        </w:rPr>
      </w:pPr>
      <w:r>
        <w:rPr>
          <w:rFonts w:hint="eastAsia" w:ascii="仿宋" w:hAnsi="仿宋" w:eastAsia="仿宋" w:cs="宋体"/>
          <w:b/>
          <w:bCs/>
          <w:sz w:val="32"/>
          <w:szCs w:val="32"/>
        </w:rPr>
        <w:t>填报时间：</w:t>
      </w:r>
      <w:r>
        <w:rPr>
          <w:rFonts w:hint="eastAsia" w:ascii="仿宋" w:hAnsi="仿宋" w:eastAsia="仿宋" w:cs="宋体"/>
          <w:sz w:val="32"/>
          <w:szCs w:val="32"/>
        </w:rPr>
        <w:t>2019年1月23日</w:t>
      </w:r>
    </w:p>
    <w:p>
      <w:pPr>
        <w:spacing w:line="540" w:lineRule="auto"/>
        <w:rPr>
          <w:rFonts w:ascii="黑体" w:hAnsi="黑体" w:eastAsia="黑体" w:cs="黑体"/>
          <w:spacing w:val="-3"/>
          <w:sz w:val="32"/>
        </w:rPr>
      </w:pPr>
    </w:p>
    <w:p>
      <w:pPr>
        <w:spacing w:line="460" w:lineRule="exact"/>
        <w:ind w:firstLine="624"/>
        <w:rPr>
          <w:rFonts w:ascii="方正小标宋_GBK" w:hAnsi="方正小标宋_GBK" w:eastAsia="方正小标宋_GBK" w:cs="黑体"/>
          <w:spacing w:val="-5"/>
          <w:sz w:val="32"/>
        </w:rPr>
      </w:pPr>
      <w:r>
        <w:rPr>
          <w:rFonts w:hint="eastAsia" w:ascii="方正小标宋_GBK" w:hAnsi="方正小标宋_GBK" w:eastAsia="方正小标宋_GBK" w:cs="黑体"/>
          <w:spacing w:val="-5"/>
          <w:sz w:val="32"/>
        </w:rPr>
        <w:t>一、项目概况</w:t>
      </w:r>
    </w:p>
    <w:p>
      <w:pPr>
        <w:keepNext w:val="0"/>
        <w:keepLines w:val="0"/>
        <w:pageBreakBefore w:val="0"/>
        <w:widowControl w:val="0"/>
        <w:kinsoku/>
        <w:wordWrap/>
        <w:overflowPunct/>
        <w:topLinePunct w:val="0"/>
        <w:autoSpaceDE/>
        <w:autoSpaceDN/>
        <w:bidi w:val="0"/>
        <w:adjustRightInd/>
        <w:spacing w:line="600" w:lineRule="exact"/>
        <w:ind w:firstLine="631" w:firstLineChars="200"/>
        <w:textAlignment w:val="auto"/>
        <w:rPr>
          <w:rFonts w:hint="eastAsia" w:ascii="仿宋_GB2312" w:eastAsia="仿宋_GB2312"/>
          <w:sz w:val="32"/>
          <w:szCs w:val="32"/>
        </w:rPr>
      </w:pPr>
      <w:r>
        <w:rPr>
          <w:rFonts w:ascii="仿宋" w:hAnsi="仿宋" w:eastAsia="仿宋" w:cs="楷体"/>
          <w:b/>
          <w:spacing w:val="-3"/>
          <w:sz w:val="32"/>
        </w:rPr>
        <w:t>（一）项目单位基本情况</w:t>
      </w:r>
      <w:r>
        <w:rPr>
          <w:rFonts w:hint="eastAsia" w:ascii="仿宋" w:hAnsi="仿宋" w:eastAsia="仿宋" w:cs="楷体"/>
          <w:b/>
          <w:spacing w:val="-3"/>
          <w:sz w:val="32"/>
          <w:lang w:eastAsia="zh-CN"/>
        </w:rPr>
        <w:t>。</w:t>
      </w:r>
      <w:r>
        <w:rPr>
          <w:rFonts w:hint="eastAsia" w:ascii="仿宋_GB2312" w:eastAsia="仿宋_GB2312"/>
          <w:sz w:val="32"/>
          <w:szCs w:val="32"/>
        </w:rPr>
        <w:t>贯彻执行国家和自治区有关水利工作方针政策和法律法规，根据全县经济社会发展总体规划和战略目标，拟定水利发展总体规划，研究起草有关地方性水利规范性文件，组织编制主要河流、湖泊的综合规划、防洪规划等水利规划；按规定制定水利工程建设有关制度并组织实施，负责提出水利固定资产投资规模、方向和政府财政性资金安排意见, 按规定权限审批、核准水利规划内和年度计划规模内固定资产投资项目；提出水利建设投资安排意见并组织实施</w:t>
      </w:r>
      <w:r>
        <w:rPr>
          <w:rFonts w:hint="eastAsia" w:ascii="仿宋_GB2312" w:eastAsia="仿宋_GB2312"/>
          <w:sz w:val="32"/>
          <w:szCs w:val="32"/>
          <w:lang w:eastAsia="zh-CN"/>
        </w:rPr>
        <w:t>，以及其他各项工作</w:t>
      </w:r>
      <w:r>
        <w:rPr>
          <w:rFonts w:hint="eastAsia" w:ascii="仿宋_GB2312" w:eastAsia="仿宋_GB2312"/>
          <w:sz w:val="32"/>
          <w:szCs w:val="32"/>
        </w:rPr>
        <w:t>。</w:t>
      </w:r>
    </w:p>
    <w:p>
      <w:pPr>
        <w:spacing w:line="460" w:lineRule="exact"/>
        <w:ind w:firstLine="627"/>
        <w:rPr>
          <w:rFonts w:hint="eastAsia" w:ascii="仿宋" w:hAnsi="仿宋" w:eastAsia="仿宋" w:cs="楷体"/>
          <w:b/>
          <w:spacing w:val="-3"/>
          <w:sz w:val="32"/>
          <w:lang w:eastAsia="zh-CN"/>
        </w:rPr>
      </w:pPr>
      <w:r>
        <w:rPr>
          <w:rFonts w:ascii="仿宋" w:hAnsi="仿宋" w:eastAsia="仿宋" w:cs="楷体"/>
          <w:b/>
          <w:spacing w:val="-3"/>
          <w:sz w:val="32"/>
        </w:rPr>
        <w:t>（二）项目预算绩效目标设定情况</w:t>
      </w:r>
      <w:r>
        <w:rPr>
          <w:rFonts w:hint="eastAsia" w:ascii="仿宋" w:hAnsi="仿宋" w:eastAsia="仿宋" w:cs="楷体"/>
          <w:b/>
          <w:spacing w:val="-3"/>
          <w:sz w:val="32"/>
          <w:lang w:eastAsia="zh-CN"/>
        </w:rPr>
        <w:t>。</w:t>
      </w:r>
    </w:p>
    <w:p>
      <w:pPr>
        <w:spacing w:line="360" w:lineRule="auto"/>
        <w:ind w:firstLine="640" w:firstLineChars="200"/>
        <w:rPr>
          <w:rFonts w:hint="eastAsia" w:ascii="仿宋" w:hAnsi="仿宋" w:eastAsia="仿宋" w:cs="仿宋"/>
          <w:spacing w:val="-5"/>
          <w:sz w:val="32"/>
        </w:rPr>
      </w:pPr>
      <w:r>
        <w:rPr>
          <w:rFonts w:hint="eastAsia" w:ascii="仿宋" w:hAnsi="仿宋" w:eastAsia="仿宋" w:cs="宋体"/>
          <w:color w:val="2B2B2B"/>
          <w:sz w:val="32"/>
          <w:szCs w:val="32"/>
        </w:rPr>
        <w:t>目标1：</w:t>
      </w:r>
      <w:r>
        <w:rPr>
          <w:rFonts w:hint="eastAsia" w:ascii="仿宋" w:hAnsi="仿宋" w:eastAsia="仿宋" w:cs="仿宋"/>
          <w:spacing w:val="-5"/>
          <w:sz w:val="32"/>
        </w:rPr>
        <w:t>修复引水渠481m，新建下游导流提200m，叶亦克村引水枢纽修复水渠452m。</w:t>
      </w:r>
    </w:p>
    <w:p>
      <w:pPr>
        <w:spacing w:line="360" w:lineRule="auto"/>
        <w:ind w:firstLine="620" w:firstLineChars="200"/>
        <w:rPr>
          <w:rFonts w:hint="eastAsia" w:ascii="仿宋" w:hAnsi="仿宋" w:eastAsia="仿宋" w:cs="仿宋"/>
          <w:spacing w:val="-5"/>
          <w:sz w:val="32"/>
          <w:lang w:val="en-US" w:eastAsia="zh-CN"/>
        </w:rPr>
      </w:pPr>
      <w:r>
        <w:rPr>
          <w:rFonts w:hint="eastAsia" w:ascii="仿宋" w:hAnsi="仿宋" w:eastAsia="仿宋" w:cs="仿宋"/>
          <w:color w:val="000000" w:themeColor="text1"/>
          <w:spacing w:val="-5"/>
          <w:sz w:val="32"/>
          <w:highlight w:val="none"/>
        </w:rPr>
        <w:t>目标2：提</w:t>
      </w:r>
      <w:r>
        <w:rPr>
          <w:rFonts w:hint="eastAsia" w:ascii="仿宋" w:hAnsi="仿宋" w:eastAsia="仿宋" w:cs="仿宋"/>
          <w:spacing w:val="-5"/>
          <w:sz w:val="32"/>
        </w:rPr>
        <w:t>高泄洪闸的泄洪能力，保障渠首的安全运行，保障下游耕地的安全，消除险工，稳定河势</w:t>
      </w:r>
      <w:r>
        <w:rPr>
          <w:rFonts w:hint="eastAsia" w:ascii="仿宋" w:hAnsi="仿宋" w:eastAsia="仿宋" w:cs="仿宋"/>
          <w:spacing w:val="-5"/>
          <w:sz w:val="32"/>
          <w:lang w:val="en-US" w:eastAsia="zh-CN"/>
        </w:rPr>
        <w:t>.</w:t>
      </w:r>
    </w:p>
    <w:p>
      <w:pPr>
        <w:spacing w:line="460" w:lineRule="exact"/>
        <w:ind w:firstLine="624"/>
        <w:rPr>
          <w:rFonts w:ascii="方正小标宋_GBK" w:hAnsi="方正小标宋_GBK" w:eastAsia="方正小标宋_GBK" w:cs="黑体"/>
          <w:b/>
          <w:bCs/>
          <w:spacing w:val="-5"/>
          <w:sz w:val="32"/>
        </w:rPr>
      </w:pPr>
      <w:r>
        <w:rPr>
          <w:rFonts w:hint="eastAsia" w:ascii="方正小标宋_GBK" w:hAnsi="方正小标宋_GBK" w:eastAsia="方正小标宋_GBK" w:cs="黑体"/>
          <w:b/>
          <w:bCs/>
          <w:spacing w:val="-5"/>
          <w:sz w:val="32"/>
        </w:rPr>
        <w:t>二、项目资金使用及管理情况</w:t>
      </w:r>
    </w:p>
    <w:p>
      <w:pPr>
        <w:spacing w:line="460" w:lineRule="exact"/>
        <w:ind w:firstLine="627"/>
        <w:rPr>
          <w:rFonts w:hint="eastAsia" w:ascii="仿宋" w:hAnsi="仿宋" w:eastAsia="仿宋" w:cs="仿宋"/>
          <w:spacing w:val="-5"/>
          <w:sz w:val="32"/>
          <w:lang w:val="en-US" w:eastAsia="zh-CN"/>
        </w:rPr>
      </w:pPr>
      <w:r>
        <w:rPr>
          <w:rFonts w:ascii="仿宋" w:hAnsi="仿宋" w:eastAsia="仿宋" w:cs="楷体"/>
          <w:b/>
          <w:spacing w:val="-3"/>
          <w:sz w:val="32"/>
        </w:rPr>
        <w:t>（一）项目资金安排落实、总投入等情况分析</w:t>
      </w:r>
      <w:r>
        <w:rPr>
          <w:rFonts w:hint="eastAsia" w:ascii="仿宋" w:hAnsi="仿宋" w:eastAsia="仿宋" w:cs="楷体"/>
          <w:b/>
          <w:spacing w:val="-3"/>
          <w:sz w:val="32"/>
          <w:lang w:eastAsia="zh-CN"/>
        </w:rPr>
        <w:t>。</w:t>
      </w:r>
      <w:r>
        <w:rPr>
          <w:rFonts w:ascii="仿宋" w:hAnsi="仿宋" w:eastAsia="仿宋" w:cs="宋体"/>
          <w:color w:val="2B2B2B"/>
          <w:sz w:val="32"/>
          <w:szCs w:val="32"/>
        </w:rPr>
        <w:t>民丰县阿克塔什渠首泄洪闸后面加固工程</w:t>
      </w:r>
      <w:r>
        <w:rPr>
          <w:rFonts w:hint="eastAsia" w:ascii="仿宋" w:hAnsi="仿宋" w:eastAsia="仿宋" w:cs="宋体"/>
          <w:color w:val="2B2B2B"/>
          <w:sz w:val="32"/>
          <w:szCs w:val="32"/>
        </w:rPr>
        <w:t>项目</w:t>
      </w:r>
      <w:r>
        <w:rPr>
          <w:rFonts w:ascii="仿宋" w:hAnsi="仿宋" w:eastAsia="仿宋" w:cs="仿宋"/>
          <w:spacing w:val="-3"/>
          <w:sz w:val="32"/>
        </w:rPr>
        <w:t>经费</w:t>
      </w:r>
      <w:r>
        <w:rPr>
          <w:rStyle w:val="7"/>
          <w:rFonts w:hint="eastAsia" w:ascii="仿宋" w:hAnsi="仿宋" w:eastAsia="仿宋"/>
          <w:b w:val="0"/>
          <w:spacing w:val="-4"/>
          <w:sz w:val="32"/>
          <w:szCs w:val="32"/>
          <w:highlight w:val="none"/>
        </w:rPr>
        <w:t>总投资</w:t>
      </w:r>
      <w:r>
        <w:rPr>
          <w:rFonts w:hint="eastAsia" w:ascii="仿宋" w:hAnsi="仿宋" w:eastAsia="仿宋" w:cs="宋体"/>
          <w:color w:val="2B2B2B"/>
          <w:sz w:val="32"/>
          <w:szCs w:val="32"/>
          <w:lang w:val="en-US" w:eastAsia="zh-CN"/>
        </w:rPr>
        <w:t>40</w:t>
      </w:r>
      <w:r>
        <w:rPr>
          <w:rFonts w:hint="eastAsia" w:ascii="仿宋" w:hAnsi="仿宋" w:eastAsia="仿宋" w:cs="仿宋"/>
          <w:spacing w:val="-3"/>
          <w:sz w:val="32"/>
        </w:rPr>
        <w:t>万</w:t>
      </w:r>
      <w:r>
        <w:rPr>
          <w:rFonts w:ascii="仿宋" w:hAnsi="仿宋" w:eastAsia="仿宋" w:cs="仿宋"/>
          <w:spacing w:val="-3"/>
          <w:sz w:val="32"/>
        </w:rPr>
        <w:t>元，</w:t>
      </w:r>
      <w:r>
        <w:rPr>
          <w:rStyle w:val="7"/>
          <w:rFonts w:hint="eastAsia" w:ascii="仿宋" w:hAnsi="仿宋" w:eastAsia="仿宋"/>
          <w:b w:val="0"/>
          <w:spacing w:val="-4"/>
          <w:sz w:val="32"/>
          <w:szCs w:val="32"/>
          <w:highlight w:val="none"/>
        </w:rPr>
        <w:t>实际到位</w:t>
      </w:r>
      <w:r>
        <w:rPr>
          <w:rStyle w:val="7"/>
          <w:rFonts w:hint="eastAsia" w:ascii="仿宋" w:hAnsi="仿宋" w:eastAsia="仿宋"/>
          <w:b w:val="0"/>
          <w:spacing w:val="-4"/>
          <w:sz w:val="32"/>
          <w:szCs w:val="32"/>
          <w:highlight w:val="none"/>
          <w:lang w:val="en-US"/>
        </w:rPr>
        <w:t>4</w:t>
      </w:r>
      <w:r>
        <w:rPr>
          <w:rStyle w:val="7"/>
          <w:rFonts w:hint="eastAsia" w:ascii="仿宋" w:hAnsi="仿宋" w:eastAsia="仿宋"/>
          <w:b w:val="0"/>
          <w:spacing w:val="-4"/>
          <w:sz w:val="32"/>
          <w:szCs w:val="32"/>
          <w:highlight w:val="none"/>
        </w:rPr>
        <w:t>0万元，资金到位率100%。</w:t>
      </w:r>
      <w:r>
        <w:rPr>
          <w:rFonts w:hint="eastAsia" w:ascii="仿宋" w:hAnsi="仿宋" w:eastAsia="仿宋" w:cs="仿宋"/>
          <w:spacing w:val="-5"/>
          <w:sz w:val="32"/>
        </w:rPr>
        <w:t>修复引水渠481m，新建下游导流提200m，叶亦克村引水枢纽修复水渠452m。</w:t>
      </w:r>
      <w:r>
        <w:rPr>
          <w:rFonts w:hint="eastAsia" w:ascii="仿宋" w:hAnsi="仿宋" w:eastAsia="仿宋" w:cs="仿宋"/>
          <w:color w:val="000000" w:themeColor="text1"/>
          <w:spacing w:val="-5"/>
          <w:sz w:val="32"/>
          <w:highlight w:val="none"/>
        </w:rPr>
        <w:t>提</w:t>
      </w:r>
      <w:r>
        <w:rPr>
          <w:rFonts w:hint="eastAsia" w:ascii="仿宋" w:hAnsi="仿宋" w:eastAsia="仿宋" w:cs="仿宋"/>
          <w:spacing w:val="-5"/>
          <w:sz w:val="32"/>
        </w:rPr>
        <w:t>高泄洪闸的泄洪能力，保障渠首的安全运行，保障下游耕地的安全，消除险工，稳定河势</w:t>
      </w:r>
      <w:r>
        <w:rPr>
          <w:rFonts w:hint="eastAsia" w:ascii="仿宋" w:hAnsi="仿宋" w:eastAsia="仿宋" w:cs="仿宋"/>
          <w:spacing w:val="-5"/>
          <w:sz w:val="32"/>
          <w:lang w:eastAsia="zh-CN"/>
        </w:rPr>
        <w:t>。</w:t>
      </w:r>
    </w:p>
    <w:p>
      <w:pPr>
        <w:spacing w:line="460" w:lineRule="exact"/>
        <w:ind w:firstLine="627"/>
        <w:rPr>
          <w:rFonts w:ascii="仿宋" w:hAnsi="仿宋" w:eastAsia="仿宋"/>
          <w:color w:val="000000"/>
          <w:spacing w:val="-3"/>
          <w:sz w:val="32"/>
          <w:szCs w:val="32"/>
          <w:shd w:val="clear" w:color="auto" w:fill="FFFFFF"/>
        </w:rPr>
      </w:pPr>
      <w:r>
        <w:rPr>
          <w:rFonts w:ascii="仿宋" w:hAnsi="仿宋" w:eastAsia="仿宋" w:cs="楷体"/>
          <w:b/>
          <w:spacing w:val="-3"/>
          <w:sz w:val="32"/>
        </w:rPr>
        <w:t>（二）项目资金实际使用情况分析</w:t>
      </w:r>
      <w:r>
        <w:rPr>
          <w:rFonts w:hint="eastAsia" w:ascii="仿宋" w:hAnsi="仿宋" w:eastAsia="仿宋" w:cs="楷体"/>
          <w:b/>
          <w:spacing w:val="-3"/>
          <w:sz w:val="32"/>
          <w:lang w:eastAsia="zh-CN"/>
        </w:rPr>
        <w:t>。</w:t>
      </w:r>
      <w:r>
        <w:rPr>
          <w:rFonts w:hint="eastAsia" w:ascii="仿宋" w:hAnsi="仿宋" w:eastAsia="仿宋"/>
          <w:color w:val="000000"/>
          <w:spacing w:val="-3"/>
          <w:sz w:val="32"/>
          <w:szCs w:val="32"/>
          <w:shd w:val="clear" w:color="auto" w:fill="FFFFFF"/>
        </w:rPr>
        <w:t>民丰县县水利局2018年民丰县阿克塔什渠首泄洪闸后加固工程项目项目资金实际支出</w:t>
      </w:r>
      <w:r>
        <w:rPr>
          <w:rFonts w:hint="eastAsia" w:ascii="仿宋" w:hAnsi="仿宋" w:eastAsia="仿宋"/>
          <w:color w:val="000000"/>
          <w:spacing w:val="-3"/>
          <w:sz w:val="32"/>
          <w:szCs w:val="32"/>
          <w:shd w:val="clear" w:color="auto" w:fill="FFFFFF"/>
          <w:lang w:val="en-US" w:eastAsia="zh-CN"/>
        </w:rPr>
        <w:t>40</w:t>
      </w:r>
      <w:r>
        <w:rPr>
          <w:rFonts w:hint="eastAsia" w:ascii="仿宋" w:hAnsi="仿宋" w:eastAsia="仿宋"/>
          <w:color w:val="000000"/>
          <w:spacing w:val="-3"/>
          <w:sz w:val="32"/>
          <w:szCs w:val="32"/>
          <w:shd w:val="clear" w:color="auto" w:fill="FFFFFF"/>
        </w:rPr>
        <w:t>万元，其中上级财政拨款</w:t>
      </w:r>
      <w:r>
        <w:rPr>
          <w:rFonts w:hint="eastAsia" w:ascii="仿宋" w:hAnsi="仿宋" w:eastAsia="仿宋"/>
          <w:color w:val="000000"/>
          <w:spacing w:val="-3"/>
          <w:sz w:val="32"/>
          <w:szCs w:val="32"/>
          <w:shd w:val="clear" w:color="auto" w:fill="FFFFFF"/>
          <w:lang w:val="en-US" w:eastAsia="zh-CN"/>
        </w:rPr>
        <w:t>40</w:t>
      </w:r>
      <w:r>
        <w:rPr>
          <w:rFonts w:hint="eastAsia" w:ascii="仿宋" w:hAnsi="仿宋" w:eastAsia="仿宋"/>
          <w:color w:val="000000"/>
          <w:spacing w:val="-3"/>
          <w:sz w:val="32"/>
          <w:szCs w:val="32"/>
          <w:shd w:val="clear" w:color="auto" w:fill="FFFFFF"/>
        </w:rPr>
        <w:t>万元，总投资</w:t>
      </w:r>
      <w:r>
        <w:rPr>
          <w:rFonts w:hint="eastAsia" w:ascii="仿宋" w:hAnsi="仿宋" w:eastAsia="仿宋"/>
          <w:color w:val="000000"/>
          <w:spacing w:val="-3"/>
          <w:sz w:val="32"/>
          <w:szCs w:val="32"/>
          <w:shd w:val="clear" w:color="auto" w:fill="FFFFFF"/>
          <w:lang w:val="en-US"/>
        </w:rPr>
        <w:t>4</w:t>
      </w:r>
      <w:r>
        <w:rPr>
          <w:rFonts w:hint="eastAsia" w:ascii="仿宋" w:hAnsi="仿宋" w:eastAsia="仿宋"/>
          <w:color w:val="000000"/>
          <w:spacing w:val="-3"/>
          <w:sz w:val="32"/>
          <w:szCs w:val="32"/>
          <w:shd w:val="clear" w:color="auto" w:fill="FFFFFF"/>
        </w:rPr>
        <w:t>0万元，实际到位</w:t>
      </w:r>
      <w:r>
        <w:rPr>
          <w:rFonts w:hint="eastAsia" w:ascii="仿宋" w:hAnsi="仿宋" w:eastAsia="仿宋"/>
          <w:color w:val="000000"/>
          <w:spacing w:val="-3"/>
          <w:sz w:val="32"/>
          <w:szCs w:val="32"/>
          <w:shd w:val="clear" w:color="auto" w:fill="FFFFFF"/>
          <w:lang w:val="en-US"/>
        </w:rPr>
        <w:t>4</w:t>
      </w:r>
      <w:r>
        <w:rPr>
          <w:rFonts w:hint="eastAsia" w:ascii="仿宋" w:hAnsi="仿宋" w:eastAsia="仿宋"/>
          <w:color w:val="000000"/>
          <w:spacing w:val="-3"/>
          <w:sz w:val="32"/>
          <w:szCs w:val="32"/>
          <w:shd w:val="clear" w:color="auto" w:fill="FFFFFF"/>
        </w:rPr>
        <w:t>0万元，资金到位率100%。</w:t>
      </w:r>
      <w:r>
        <w:rPr>
          <w:rFonts w:hint="eastAsia" w:ascii="仿宋" w:hAnsi="仿宋" w:eastAsia="仿宋"/>
          <w:color w:val="000000"/>
          <w:spacing w:val="-3"/>
          <w:sz w:val="32"/>
          <w:szCs w:val="32"/>
          <w:shd w:val="clear" w:color="auto" w:fill="FFFFFF"/>
          <w:lang w:val="en-US" w:eastAsia="zh-CN"/>
        </w:rPr>
        <w:t>项目实际支出32.815224</w:t>
      </w:r>
      <w:r>
        <w:rPr>
          <w:rFonts w:hint="eastAsia" w:ascii="仿宋" w:hAnsi="仿宋" w:eastAsia="仿宋"/>
          <w:color w:val="000000"/>
          <w:spacing w:val="-3"/>
          <w:sz w:val="32"/>
          <w:szCs w:val="32"/>
          <w:shd w:val="clear" w:color="auto" w:fill="FFFFFF"/>
        </w:rPr>
        <w:t>万元</w:t>
      </w:r>
      <w:r>
        <w:rPr>
          <w:rFonts w:hint="eastAsia" w:ascii="仿宋" w:hAnsi="仿宋" w:eastAsia="仿宋"/>
          <w:color w:val="000000"/>
          <w:spacing w:val="-3"/>
          <w:sz w:val="32"/>
          <w:szCs w:val="32"/>
          <w:shd w:val="clear" w:color="auto" w:fill="FFFFFF"/>
          <w:lang w:eastAsia="zh-CN"/>
        </w:rPr>
        <w:t>，</w:t>
      </w:r>
      <w:r>
        <w:rPr>
          <w:rFonts w:hint="eastAsia" w:ascii="仿宋" w:hAnsi="仿宋" w:eastAsia="仿宋"/>
          <w:color w:val="000000"/>
          <w:spacing w:val="-3"/>
          <w:sz w:val="32"/>
          <w:szCs w:val="32"/>
          <w:shd w:val="clear" w:color="auto" w:fill="FFFFFF"/>
          <w:lang w:val="en-US" w:eastAsia="zh-CN"/>
        </w:rPr>
        <w:t>结余71847.76</w:t>
      </w:r>
      <w:r>
        <w:rPr>
          <w:rFonts w:hint="eastAsia" w:ascii="仿宋" w:hAnsi="仿宋" w:eastAsia="仿宋"/>
          <w:color w:val="000000"/>
          <w:spacing w:val="-3"/>
          <w:sz w:val="32"/>
          <w:szCs w:val="32"/>
          <w:shd w:val="clear" w:color="auto" w:fill="FFFFFF"/>
          <w:lang w:eastAsia="zh-CN"/>
        </w:rPr>
        <w:t>万元</w:t>
      </w:r>
      <w:r>
        <w:rPr>
          <w:rFonts w:ascii="仿宋" w:hAnsi="仿宋" w:eastAsia="仿宋"/>
          <w:color w:val="000000"/>
          <w:spacing w:val="-3"/>
          <w:sz w:val="32"/>
          <w:szCs w:val="32"/>
          <w:shd w:val="clear" w:color="auto" w:fill="FFFFFF"/>
        </w:rPr>
        <w:t>。</w:t>
      </w:r>
    </w:p>
    <w:p>
      <w:pPr>
        <w:spacing w:line="460" w:lineRule="exact"/>
        <w:ind w:firstLine="627"/>
        <w:rPr>
          <w:rFonts w:ascii="仿宋" w:hAnsi="仿宋" w:eastAsia="仿宋" w:cs="楷体"/>
          <w:b/>
          <w:spacing w:val="-3"/>
          <w:sz w:val="32"/>
        </w:rPr>
      </w:pPr>
      <w:r>
        <w:rPr>
          <w:rFonts w:ascii="仿宋" w:hAnsi="仿宋" w:eastAsia="仿宋" w:cs="楷体"/>
          <w:b/>
          <w:spacing w:val="-3"/>
          <w:sz w:val="32"/>
        </w:rPr>
        <w:t>（三）项目资金管理情况分析</w:t>
      </w:r>
    </w:p>
    <w:p>
      <w:pPr>
        <w:spacing w:line="540" w:lineRule="exact"/>
        <w:ind w:firstLine="755"/>
        <w:rPr>
          <w:rFonts w:ascii="仿宋" w:hAnsi="仿宋" w:eastAsia="仿宋" w:cs="仿宋"/>
          <w:spacing w:val="-3"/>
          <w:sz w:val="32"/>
        </w:rPr>
      </w:pPr>
      <w:r>
        <w:rPr>
          <w:rFonts w:hint="eastAsia" w:ascii="仿宋" w:hAnsi="仿宋" w:eastAsia="仿宋" w:cs="仿宋"/>
          <w:spacing w:val="-3"/>
          <w:sz w:val="32"/>
        </w:rPr>
        <w:t>1</w:t>
      </w:r>
      <w:r>
        <w:rPr>
          <w:rFonts w:hint="eastAsia" w:ascii="仿宋" w:hAnsi="仿宋" w:eastAsia="仿宋" w:cs="楷体"/>
          <w:b/>
          <w:spacing w:val="-3"/>
          <w:sz w:val="32"/>
          <w:lang w:val="en-US" w:eastAsia="zh-CN"/>
        </w:rPr>
        <w:t>.</w:t>
      </w:r>
      <w:r>
        <w:rPr>
          <w:rFonts w:hint="eastAsia" w:ascii="仿宋" w:hAnsi="仿宋" w:eastAsia="仿宋" w:cs="楷体"/>
          <w:b/>
          <w:spacing w:val="-3"/>
          <w:sz w:val="32"/>
        </w:rPr>
        <w:t>管理制度</w:t>
      </w:r>
      <w:r>
        <w:rPr>
          <w:rFonts w:hint="eastAsia" w:ascii="仿宋" w:hAnsi="仿宋" w:eastAsia="仿宋" w:cs="楷体"/>
          <w:b/>
          <w:spacing w:val="-3"/>
          <w:sz w:val="32"/>
          <w:lang w:eastAsia="zh-CN"/>
        </w:rPr>
        <w:t>。</w:t>
      </w:r>
      <w:r>
        <w:rPr>
          <w:rFonts w:ascii="仿宋" w:hAnsi="仿宋" w:eastAsia="仿宋"/>
          <w:color w:val="000000"/>
          <w:spacing w:val="-3"/>
          <w:sz w:val="32"/>
          <w:szCs w:val="32"/>
          <w:shd w:val="clear" w:color="auto" w:fill="FFFFFF"/>
        </w:rPr>
        <w:t>严格执行财务会计各项制度、</w:t>
      </w:r>
      <w:r>
        <w:rPr>
          <w:rFonts w:hint="eastAsia" w:ascii="仿宋" w:hAnsi="仿宋" w:eastAsia="仿宋"/>
          <w:color w:val="000000"/>
          <w:spacing w:val="-3"/>
          <w:sz w:val="32"/>
          <w:szCs w:val="32"/>
          <w:shd w:val="clear" w:color="auto" w:fill="FFFFFF"/>
          <w:lang w:eastAsia="zh-CN"/>
        </w:rPr>
        <w:t>以工代赈</w:t>
      </w:r>
      <w:r>
        <w:rPr>
          <w:rFonts w:ascii="仿宋" w:hAnsi="仿宋" w:eastAsia="仿宋"/>
          <w:color w:val="000000"/>
          <w:spacing w:val="-3"/>
          <w:sz w:val="32"/>
          <w:szCs w:val="32"/>
          <w:shd w:val="clear" w:color="auto" w:fill="FFFFFF"/>
        </w:rPr>
        <w:t>项目资金使用各项制度</w:t>
      </w:r>
      <w:r>
        <w:rPr>
          <w:rFonts w:hint="eastAsia" w:ascii="仿宋" w:hAnsi="仿宋" w:eastAsia="仿宋"/>
          <w:color w:val="000000"/>
          <w:spacing w:val="-3"/>
          <w:sz w:val="32"/>
          <w:szCs w:val="32"/>
          <w:shd w:val="clear" w:color="auto" w:fill="FFFFFF"/>
        </w:rPr>
        <w:t>等</w:t>
      </w:r>
      <w:r>
        <w:rPr>
          <w:rFonts w:hint="eastAsia" w:ascii="仿宋" w:hAnsi="仿宋" w:eastAsia="仿宋" w:cs="仿宋_GB2312"/>
          <w:color w:val="000000"/>
          <w:spacing w:val="-3"/>
          <w:sz w:val="32"/>
          <w:szCs w:val="32"/>
        </w:rPr>
        <w:t>。民丰</w:t>
      </w:r>
      <w:r>
        <w:rPr>
          <w:rFonts w:hint="eastAsia" w:ascii="仿宋" w:hAnsi="仿宋" w:eastAsia="仿宋"/>
          <w:color w:val="000000"/>
          <w:spacing w:val="-3"/>
          <w:sz w:val="32"/>
          <w:szCs w:val="32"/>
          <w:shd w:val="clear" w:color="auto" w:fill="FFFFFF"/>
        </w:rPr>
        <w:t>县水利工程项目</w:t>
      </w:r>
      <w:r>
        <w:rPr>
          <w:rFonts w:hint="eastAsia" w:ascii="仿宋" w:hAnsi="仿宋" w:eastAsia="仿宋"/>
          <w:spacing w:val="-3"/>
          <w:sz w:val="32"/>
          <w:szCs w:val="32"/>
          <w:shd w:val="clear" w:color="auto" w:fill="FFFFFF"/>
        </w:rPr>
        <w:t>办财</w:t>
      </w:r>
      <w:r>
        <w:rPr>
          <w:rFonts w:hint="eastAsia" w:ascii="仿宋" w:hAnsi="仿宋" w:eastAsia="仿宋"/>
          <w:color w:val="0D0D0D"/>
          <w:spacing w:val="-3"/>
          <w:sz w:val="32"/>
          <w:szCs w:val="32"/>
          <w:shd w:val="clear" w:color="auto" w:fill="FFFFFF"/>
        </w:rPr>
        <w:t>务分工明确，</w:t>
      </w:r>
      <w:r>
        <w:rPr>
          <w:rFonts w:hint="eastAsia" w:ascii="仿宋" w:hAnsi="仿宋" w:eastAsia="仿宋" w:cs="仿宋_GB2312"/>
          <w:spacing w:val="-3"/>
          <w:sz w:val="32"/>
          <w:szCs w:val="32"/>
        </w:rPr>
        <w:t>由专业的财务人员具体负责拨款单的绘制</w:t>
      </w:r>
      <w:r>
        <w:rPr>
          <w:rFonts w:hint="eastAsia" w:ascii="仿宋" w:hAnsi="仿宋" w:eastAsia="仿宋"/>
          <w:color w:val="0D0D0D"/>
          <w:spacing w:val="-3"/>
          <w:sz w:val="32"/>
          <w:szCs w:val="32"/>
          <w:shd w:val="clear" w:color="auto" w:fill="FFFFFF"/>
        </w:rPr>
        <w:t>、填写、财政审批、资金划转。会计人员认真贯彻执行国家有关法律、法规、方针、政策，严格执行财经纪律，杜绝不合理开支，做到了建设资金专户、专款专用。</w:t>
      </w:r>
    </w:p>
    <w:p>
      <w:pPr>
        <w:keepNext w:val="0"/>
        <w:keepLines w:val="0"/>
        <w:pageBreakBefore w:val="0"/>
        <w:widowControl w:val="0"/>
        <w:kinsoku/>
        <w:wordWrap/>
        <w:overflowPunct/>
        <w:topLinePunct w:val="0"/>
        <w:autoSpaceDE/>
        <w:autoSpaceDN/>
        <w:bidi w:val="0"/>
        <w:adjustRightInd/>
        <w:spacing w:line="600" w:lineRule="exact"/>
        <w:ind w:firstLine="706" w:firstLineChars="225"/>
        <w:textAlignment w:val="auto"/>
        <w:rPr>
          <w:rFonts w:hint="eastAsia" w:ascii="仿宋_GB2312" w:eastAsia="仿宋_GB2312" w:cs="Times New Roman"/>
          <w:sz w:val="32"/>
          <w:szCs w:val="32"/>
        </w:rPr>
      </w:pPr>
      <w:r>
        <w:rPr>
          <w:rFonts w:hint="eastAsia" w:ascii="仿宋" w:hAnsi="仿宋" w:eastAsia="仿宋" w:cs="仿宋"/>
          <w:spacing w:val="-3"/>
          <w:sz w:val="32"/>
        </w:rPr>
        <w:t>2</w:t>
      </w:r>
      <w:r>
        <w:rPr>
          <w:rFonts w:hint="eastAsia" w:ascii="仿宋" w:hAnsi="仿宋" w:eastAsia="仿宋" w:cs="楷体"/>
          <w:b/>
          <w:spacing w:val="-3"/>
          <w:sz w:val="32"/>
          <w:lang w:val="en-US" w:eastAsia="zh-CN"/>
        </w:rPr>
        <w:t>.</w:t>
      </w:r>
      <w:r>
        <w:rPr>
          <w:rFonts w:hint="eastAsia" w:ascii="仿宋" w:hAnsi="仿宋" w:eastAsia="仿宋" w:cs="楷体"/>
          <w:b/>
          <w:spacing w:val="-3"/>
          <w:sz w:val="32"/>
        </w:rPr>
        <w:t>管理办法及流程</w:t>
      </w:r>
      <w:r>
        <w:rPr>
          <w:rFonts w:hint="eastAsia" w:ascii="仿宋" w:hAnsi="仿宋" w:eastAsia="仿宋" w:cs="楷体"/>
          <w:b/>
          <w:spacing w:val="-3"/>
          <w:sz w:val="32"/>
          <w:lang w:eastAsia="zh-CN"/>
        </w:rPr>
        <w:t>。</w:t>
      </w:r>
      <w:r>
        <w:rPr>
          <w:rFonts w:hint="eastAsia" w:ascii="仿宋_GB2312" w:eastAsia="仿宋_GB2312" w:cs="Times New Roman"/>
          <w:sz w:val="32"/>
          <w:szCs w:val="32"/>
        </w:rPr>
        <w:t>资金使用流程严格按照民丰县建设资金审批流程，集体开会研究决定资金使用方向，达成一致意见以后形成书面报告，由项目法人、监理单位、发改财政等部门依次签署审批意见，后由县主管领导审批，再由财政部门依据相关程序实施此项工作，待项目完成后达到预期效果后，再依据相关财务规定进行项目资金的支付工作，最后将资金使用情况张榜公示。</w:t>
      </w:r>
    </w:p>
    <w:p>
      <w:pPr>
        <w:keepNext w:val="0"/>
        <w:keepLines w:val="0"/>
        <w:pageBreakBefore w:val="0"/>
        <w:widowControl w:val="0"/>
        <w:kinsoku/>
        <w:wordWrap/>
        <w:overflowPunct/>
        <w:topLinePunct w:val="0"/>
        <w:autoSpaceDE/>
        <w:autoSpaceDN/>
        <w:bidi w:val="0"/>
        <w:adjustRightInd/>
        <w:spacing w:line="600" w:lineRule="exact"/>
        <w:ind w:firstLine="723" w:firstLineChars="225"/>
        <w:textAlignment w:val="auto"/>
        <w:rPr>
          <w:rFonts w:hint="eastAsia" w:ascii="仿宋_GB2312" w:eastAsia="仿宋_GB2312" w:cs="Times New Roman"/>
          <w:sz w:val="32"/>
          <w:szCs w:val="32"/>
          <w:lang w:eastAsia="zh-CN"/>
        </w:rPr>
      </w:pPr>
      <w:r>
        <w:rPr>
          <w:rFonts w:hint="eastAsia" w:ascii="仿宋_GB2312" w:eastAsia="仿宋_GB2312" w:cs="Times New Roman"/>
          <w:b/>
          <w:bCs/>
          <w:sz w:val="32"/>
          <w:szCs w:val="32"/>
        </w:rPr>
        <w:t>3</w:t>
      </w:r>
      <w:r>
        <w:rPr>
          <w:rFonts w:hint="eastAsia" w:ascii="仿宋_GB2312" w:eastAsia="仿宋_GB2312" w:cs="Times New Roman"/>
          <w:b/>
          <w:bCs/>
          <w:sz w:val="32"/>
          <w:szCs w:val="32"/>
          <w:lang w:eastAsia="zh-CN"/>
        </w:rPr>
        <w:t>.</w:t>
      </w:r>
      <w:r>
        <w:rPr>
          <w:rFonts w:hint="eastAsia" w:ascii="仿宋_GB2312" w:eastAsia="仿宋_GB2312" w:cs="Times New Roman"/>
          <w:b/>
          <w:bCs/>
          <w:sz w:val="32"/>
          <w:szCs w:val="32"/>
        </w:rPr>
        <w:t>执行情况</w:t>
      </w:r>
      <w:r>
        <w:rPr>
          <w:rFonts w:hint="eastAsia" w:ascii="仿宋_GB2312" w:eastAsia="仿宋_GB2312" w:cs="Times New Roman"/>
          <w:b/>
          <w:bCs/>
          <w:sz w:val="32"/>
          <w:szCs w:val="32"/>
          <w:lang w:eastAsia="zh-CN"/>
        </w:rPr>
        <w:t>。</w:t>
      </w:r>
      <w:r>
        <w:rPr>
          <w:rFonts w:hint="eastAsia" w:ascii="仿宋_GB2312" w:eastAsia="仿宋_GB2312" w:cs="Times New Roman"/>
          <w:sz w:val="32"/>
          <w:szCs w:val="32"/>
        </w:rPr>
        <w:t>民丰县阿克塔什渠首泄洪闸后面加固工程项目经费管理制度严格按照《自治区自治区脱贫摘帽县奖励资金使用管理办法（试行）》要求建立，其中：</w:t>
      </w:r>
      <w:r>
        <w:rPr>
          <w:rFonts w:hint="eastAsia" w:ascii="仿宋_GB2312" w:eastAsia="仿宋_GB2312" w:cs="Times New Roman"/>
          <w:sz w:val="32"/>
          <w:szCs w:val="32"/>
          <w:lang w:val="en-US" w:eastAsia="zh-CN"/>
        </w:rPr>
        <w:t>32.815224</w:t>
      </w:r>
      <w:r>
        <w:rPr>
          <w:rFonts w:hint="eastAsia" w:ascii="仿宋_GB2312" w:eastAsia="仿宋_GB2312" w:cs="Times New Roman"/>
          <w:sz w:val="32"/>
          <w:szCs w:val="32"/>
        </w:rPr>
        <w:t>万元用于工程款</w:t>
      </w:r>
      <w:r>
        <w:rPr>
          <w:rFonts w:hint="eastAsia" w:ascii="仿宋_GB2312" w:eastAsia="仿宋_GB2312" w:cs="Times New Roman"/>
          <w:sz w:val="32"/>
          <w:szCs w:val="32"/>
          <w:lang w:eastAsia="zh-CN"/>
        </w:rPr>
        <w:t>。</w:t>
      </w:r>
    </w:p>
    <w:p>
      <w:pPr>
        <w:spacing w:line="460" w:lineRule="exact"/>
        <w:ind w:firstLine="624"/>
        <w:rPr>
          <w:rFonts w:ascii="方正小标宋_GBK" w:hAnsi="方正小标宋_GBK" w:eastAsia="方正小标宋_GBK" w:cs="黑体"/>
          <w:b/>
          <w:bCs/>
          <w:spacing w:val="-5"/>
          <w:sz w:val="32"/>
        </w:rPr>
      </w:pPr>
      <w:r>
        <w:rPr>
          <w:rFonts w:hint="eastAsia" w:ascii="方正小标宋_GBK" w:hAnsi="方正小标宋_GBK" w:eastAsia="方正小标宋_GBK" w:cs="黑体"/>
          <w:b/>
          <w:bCs/>
          <w:spacing w:val="-5"/>
          <w:sz w:val="32"/>
        </w:rPr>
        <w:t>三、项目组织实施情况</w:t>
      </w:r>
    </w:p>
    <w:p>
      <w:pPr>
        <w:spacing w:line="700" w:lineRule="exact"/>
        <w:ind w:left="1996" w:leftChars="350" w:hanging="1261" w:hangingChars="400"/>
        <w:jc w:val="left"/>
        <w:rPr>
          <w:rStyle w:val="7"/>
          <w:rFonts w:ascii="仿宋" w:hAnsi="仿宋" w:eastAsia="仿宋"/>
          <w:b w:val="0"/>
          <w:spacing w:val="-4"/>
          <w:sz w:val="32"/>
          <w:szCs w:val="32"/>
        </w:rPr>
      </w:pPr>
      <w:r>
        <w:rPr>
          <w:rFonts w:ascii="仿宋" w:hAnsi="仿宋" w:eastAsia="仿宋" w:cs="楷体"/>
          <w:b/>
          <w:spacing w:val="-3"/>
          <w:sz w:val="32"/>
        </w:rPr>
        <w:t>（一）项目组织情况分析</w:t>
      </w:r>
      <w:r>
        <w:rPr>
          <w:rFonts w:hint="eastAsia" w:ascii="仿宋" w:hAnsi="仿宋" w:eastAsia="仿宋" w:cs="楷体"/>
          <w:b/>
          <w:spacing w:val="-3"/>
          <w:sz w:val="32"/>
        </w:rPr>
        <w:t>：</w:t>
      </w:r>
      <w:r>
        <w:rPr>
          <w:rStyle w:val="7"/>
          <w:rFonts w:hint="eastAsia" w:ascii="仿宋" w:hAnsi="仿宋" w:eastAsia="仿宋"/>
          <w:b w:val="0"/>
          <w:spacing w:val="-4"/>
          <w:sz w:val="32"/>
          <w:szCs w:val="32"/>
        </w:rPr>
        <w:t>由民丰县水利管理于201</w:t>
      </w:r>
      <w:r>
        <w:rPr>
          <w:rStyle w:val="7"/>
          <w:rFonts w:ascii="仿宋" w:hAnsi="仿宋" w:eastAsia="仿宋"/>
          <w:b w:val="0"/>
          <w:spacing w:val="-4"/>
          <w:sz w:val="32"/>
          <w:szCs w:val="32"/>
        </w:rPr>
        <w:t>8</w:t>
      </w:r>
    </w:p>
    <w:p>
      <w:pPr>
        <w:spacing w:line="700" w:lineRule="exact"/>
        <w:jc w:val="left"/>
        <w:rPr>
          <w:rStyle w:val="7"/>
          <w:rFonts w:ascii="仿宋" w:hAnsi="仿宋" w:eastAsia="仿宋"/>
          <w:b w:val="0"/>
          <w:spacing w:val="-4"/>
          <w:sz w:val="32"/>
          <w:szCs w:val="32"/>
        </w:rPr>
      </w:pPr>
      <w:r>
        <w:rPr>
          <w:rStyle w:val="7"/>
          <w:rFonts w:hint="eastAsia" w:ascii="仿宋" w:hAnsi="仿宋" w:eastAsia="仿宋"/>
          <w:b w:val="0"/>
          <w:spacing w:val="-4"/>
          <w:sz w:val="32"/>
          <w:szCs w:val="32"/>
        </w:rPr>
        <w:t>年</w:t>
      </w:r>
      <w:r>
        <w:rPr>
          <w:rStyle w:val="7"/>
          <w:rFonts w:ascii="仿宋" w:hAnsi="仿宋" w:eastAsia="仿宋"/>
          <w:b w:val="0"/>
          <w:spacing w:val="-4"/>
          <w:sz w:val="32"/>
          <w:szCs w:val="32"/>
        </w:rPr>
        <w:t>4</w:t>
      </w:r>
      <w:r>
        <w:rPr>
          <w:rStyle w:val="7"/>
          <w:rFonts w:hint="eastAsia" w:ascii="仿宋" w:hAnsi="仿宋" w:eastAsia="仿宋"/>
          <w:b w:val="0"/>
          <w:spacing w:val="-4"/>
          <w:sz w:val="32"/>
          <w:szCs w:val="32"/>
        </w:rPr>
        <w:t>月对</w:t>
      </w:r>
      <w:r>
        <w:rPr>
          <w:rStyle w:val="7"/>
          <w:rFonts w:ascii="仿宋" w:hAnsi="仿宋" w:eastAsia="仿宋"/>
          <w:b w:val="0"/>
          <w:spacing w:val="-4"/>
          <w:sz w:val="32"/>
          <w:szCs w:val="32"/>
        </w:rPr>
        <w:t>该工程实</w:t>
      </w:r>
      <w:r>
        <w:rPr>
          <w:rStyle w:val="7"/>
          <w:rFonts w:hint="eastAsia" w:ascii="仿宋" w:hAnsi="仿宋" w:eastAsia="仿宋"/>
          <w:b w:val="0"/>
          <w:spacing w:val="-4"/>
          <w:sz w:val="32"/>
          <w:szCs w:val="32"/>
        </w:rPr>
        <w:t>行</w:t>
      </w:r>
      <w:r>
        <w:rPr>
          <w:rStyle w:val="7"/>
          <w:rFonts w:ascii="仿宋" w:hAnsi="仿宋" w:eastAsia="仿宋"/>
          <w:b w:val="0"/>
          <w:spacing w:val="-4"/>
          <w:sz w:val="32"/>
          <w:szCs w:val="32"/>
        </w:rPr>
        <w:t>派工。</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本工程共有2个标段，各标段单位是：</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施工标段: 新疆绿城市政园林有限公司。</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监理标段：新疆盛昌工程管理有限公司。</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rPr>
        <w:t>该项目于2018年5月24日由县发改委、财政局、扶贫办等单位对该项目进行了竣工验收工作并通过验收民丰县水利局民丰县阿克塔什渠首泄洪闸后面加固工程项目资金支出</w:t>
      </w:r>
      <w:r>
        <w:rPr>
          <w:rFonts w:hint="eastAsia" w:ascii="仿宋_GB2312" w:eastAsia="仿宋_GB2312" w:cs="Times New Roman"/>
          <w:sz w:val="32"/>
          <w:szCs w:val="32"/>
          <w:lang w:val="en-US" w:eastAsia="zh-CN"/>
        </w:rPr>
        <w:t>32.815224</w:t>
      </w:r>
      <w:r>
        <w:rPr>
          <w:rFonts w:hint="eastAsia" w:ascii="仿宋_GB2312" w:eastAsia="仿宋_GB2312" w:cs="Times New Roman"/>
          <w:sz w:val="32"/>
          <w:szCs w:val="32"/>
        </w:rPr>
        <w:t>万元</w:t>
      </w:r>
      <w:r>
        <w:rPr>
          <w:rFonts w:hint="eastAsia" w:ascii="仿宋_GB2312"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pacing w:line="600" w:lineRule="exact"/>
        <w:ind w:firstLine="723" w:firstLineChars="225"/>
        <w:textAlignment w:val="auto"/>
        <w:rPr>
          <w:rFonts w:hint="eastAsia" w:ascii="仿宋_GB2312" w:eastAsia="仿宋_GB2312" w:cs="Times New Roman"/>
          <w:b/>
          <w:bCs/>
          <w:sz w:val="32"/>
          <w:szCs w:val="32"/>
        </w:rPr>
      </w:pPr>
      <w:r>
        <w:rPr>
          <w:rFonts w:hint="eastAsia" w:ascii="仿宋_GB2312" w:eastAsia="仿宋_GB2312" w:cs="Times New Roman"/>
          <w:b/>
          <w:bCs/>
          <w:sz w:val="32"/>
          <w:szCs w:val="32"/>
        </w:rPr>
        <w:t>（二）项目管理情况分析</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1</w:t>
      </w:r>
      <w:r>
        <w:rPr>
          <w:rFonts w:hint="eastAsia" w:ascii="仿宋_GB2312" w:eastAsia="仿宋_GB2312" w:cs="Times New Roman"/>
          <w:sz w:val="32"/>
          <w:szCs w:val="32"/>
          <w:lang w:eastAsia="zh-CN"/>
        </w:rPr>
        <w:t>.</w:t>
      </w:r>
      <w:r>
        <w:rPr>
          <w:rFonts w:hint="eastAsia" w:ascii="仿宋_GB2312" w:eastAsia="仿宋_GB2312" w:cs="Times New Roman"/>
          <w:sz w:val="32"/>
          <w:szCs w:val="32"/>
        </w:rPr>
        <w:t>日常检查监督管理情况</w:t>
      </w:r>
      <w:r>
        <w:rPr>
          <w:rFonts w:hint="eastAsia" w:ascii="仿宋_GB2312" w:eastAsia="仿宋_GB2312" w:cs="Times New Roman"/>
          <w:sz w:val="32"/>
          <w:szCs w:val="32"/>
          <w:lang w:eastAsia="zh-CN"/>
        </w:rPr>
        <w:t>。</w:t>
      </w:r>
      <w:r>
        <w:rPr>
          <w:rFonts w:hint="eastAsia" w:ascii="仿宋_GB2312" w:eastAsia="仿宋_GB2312" w:cs="Times New Roman"/>
          <w:sz w:val="32"/>
          <w:szCs w:val="32"/>
        </w:rPr>
        <w:t>为确保工程建设质量，我们要求各施工单位都要建立健全工程质量管理体系，开工前制定完善的控制质量的措施，加强施工程控，及时分析回馈质量信息，及时进行纠正和制定预防措施。确保业主、监理等关于工程质量方针、条例、规定和要求的落实，制定了《工程管理制度》，组织施工图会审和施工现场设计技术交底工作。在实施过程中，遵守工程项目建设管理的相关法规和规定，按批准的设计文件和基本建设程序组织工程项目建设，严格落实工程质量检测制度，把控工程质量关。项目法人做到对项目的策划、资金筹措、工程建设等全过程负责，对工程建设总负责。质量监督由和田地区水利工程质量监督站民丰分站负责。质量监督部门实施政府质量监督管理，本工程质量监督工程负责领导吾布力·麦提喀斯木负责，质量监督组组长艾麦尔江。</w:t>
      </w:r>
    </w:p>
    <w:p>
      <w:pPr>
        <w:keepNext w:val="0"/>
        <w:keepLines w:val="0"/>
        <w:pageBreakBefore w:val="0"/>
        <w:widowControl w:val="0"/>
        <w:kinsoku/>
        <w:wordWrap/>
        <w:overflowPunct/>
        <w:topLinePunct w:val="0"/>
        <w:autoSpaceDE/>
        <w:autoSpaceDN/>
        <w:bidi w:val="0"/>
        <w:adjustRightInd/>
        <w:spacing w:line="600" w:lineRule="exact"/>
        <w:ind w:firstLine="723" w:firstLineChars="225"/>
        <w:textAlignment w:val="auto"/>
        <w:rPr>
          <w:rFonts w:hint="eastAsia" w:ascii="仿宋_GB2312" w:eastAsia="仿宋_GB2312" w:cs="Times New Roman"/>
          <w:b/>
          <w:bCs/>
          <w:sz w:val="32"/>
          <w:szCs w:val="32"/>
        </w:rPr>
      </w:pPr>
      <w:r>
        <w:rPr>
          <w:rFonts w:hint="eastAsia" w:ascii="仿宋_GB2312" w:eastAsia="仿宋_GB2312" w:cs="Times New Roman"/>
          <w:b/>
          <w:bCs/>
          <w:sz w:val="32"/>
          <w:szCs w:val="32"/>
          <w:lang w:eastAsia="zh-CN"/>
        </w:rPr>
        <w:t>四、</w:t>
      </w:r>
      <w:r>
        <w:rPr>
          <w:rFonts w:hint="eastAsia" w:ascii="仿宋_GB2312" w:eastAsia="仿宋_GB2312" w:cs="Times New Roman"/>
          <w:b/>
          <w:bCs/>
          <w:sz w:val="32"/>
          <w:szCs w:val="32"/>
        </w:rPr>
        <w:t>项目绩效情况</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（一）项目绩效目标完成情况分析</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rPr>
        <w:t>1.项目的经济性分析</w:t>
      </w:r>
      <w:r>
        <w:rPr>
          <w:rFonts w:hint="eastAsia" w:ascii="仿宋_GB2312" w:eastAsia="仿宋_GB2312" w:cs="Times New Roman"/>
          <w:sz w:val="32"/>
          <w:szCs w:val="32"/>
          <w:lang w:eastAsia="zh-CN"/>
        </w:rPr>
        <w:t>。</w:t>
      </w:r>
    </w:p>
    <w:p>
      <w:pPr>
        <w:spacing w:line="460" w:lineRule="exact"/>
        <w:ind w:firstLine="624"/>
        <w:rPr>
          <w:rFonts w:hint="eastAsia" w:ascii="仿宋_GB2312" w:eastAsia="仿宋_GB2312" w:cs="Times New Roman"/>
          <w:sz w:val="32"/>
          <w:szCs w:val="32"/>
        </w:rPr>
      </w:pPr>
      <w:r>
        <w:rPr>
          <w:rFonts w:hint="eastAsia" w:ascii="仿宋_GB2312" w:eastAsia="仿宋_GB2312" w:cs="Times New Roman"/>
          <w:sz w:val="32"/>
          <w:szCs w:val="32"/>
        </w:rPr>
        <w:t>（1）项目成本（预算）控制情况。我单位严格控制民丰县项阿克塔什渠首泄洪闸后面加固工程项目的成本，经估算，本项目总投资为32.8152万元。</w:t>
      </w:r>
      <w:r>
        <w:rPr>
          <w:rFonts w:hint="eastAsia" w:ascii="仿宋" w:hAnsi="仿宋" w:eastAsia="仿宋" w:cs="仿宋_GB2312"/>
          <w:spacing w:val="-3"/>
          <w:sz w:val="32"/>
          <w:szCs w:val="32"/>
          <w:lang w:val="en-US" w:eastAsia="zh-CN"/>
        </w:rPr>
        <w:t>成本控制在预算内，未超出预算。</w:t>
      </w:r>
    </w:p>
    <w:p>
      <w:pPr>
        <w:spacing w:line="460" w:lineRule="exact"/>
        <w:ind w:firstLine="624"/>
        <w:rPr>
          <w:rFonts w:hint="default" w:ascii="仿宋_GB2312" w:eastAsia="仿宋_GB2312" w:cs="Times New Roman"/>
          <w:sz w:val="32"/>
          <w:szCs w:val="32"/>
          <w:lang w:val="en-US" w:eastAsia="zh-CN"/>
        </w:rPr>
      </w:pPr>
      <w:r>
        <w:rPr>
          <w:rFonts w:hint="eastAsia" w:ascii="仿宋_GB2312" w:eastAsia="仿宋_GB2312" w:cs="Times New Roman"/>
          <w:sz w:val="32"/>
          <w:szCs w:val="32"/>
        </w:rPr>
        <w:t>（2）项目成本（预算）节约情况。为保证阿克塔什渠首泄洪闸后面加固工程项目资金合理利用，民丰县财政局严格控制每一笔项目经费，该项目预算报审价32.8152</w:t>
      </w:r>
      <w:r>
        <w:rPr>
          <w:rFonts w:hint="eastAsia" w:ascii="仿宋_GB2312" w:eastAsia="仿宋_GB2312" w:cs="Times New Roman"/>
          <w:sz w:val="32"/>
          <w:szCs w:val="32"/>
          <w:lang w:val="en-US" w:eastAsia="zh-CN"/>
        </w:rPr>
        <w:t>24</w:t>
      </w:r>
      <w:r>
        <w:rPr>
          <w:rFonts w:hint="eastAsia" w:ascii="仿宋_GB2312" w:eastAsia="仿宋_GB2312" w:cs="Times New Roman"/>
          <w:sz w:val="32"/>
          <w:szCs w:val="32"/>
        </w:rPr>
        <w:t>万元</w:t>
      </w:r>
      <w:r>
        <w:rPr>
          <w:rFonts w:hint="eastAsia" w:ascii="仿宋_GB2312" w:eastAsia="仿宋_GB2312" w:cs="Times New Roman"/>
          <w:sz w:val="32"/>
          <w:szCs w:val="32"/>
          <w:lang w:eastAsia="zh-CN"/>
        </w:rPr>
        <w:t>，实际支付率</w:t>
      </w:r>
      <w:r>
        <w:rPr>
          <w:rFonts w:hint="eastAsia" w:ascii="仿宋_GB2312" w:eastAsia="仿宋_GB2312" w:cs="Times New Roman"/>
          <w:sz w:val="32"/>
          <w:szCs w:val="32"/>
          <w:lang w:val="en-US" w:eastAsia="zh-CN"/>
        </w:rPr>
        <w:t>82.03%。</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rPr>
        <w:t>2.项目的效率性分析</w:t>
      </w:r>
      <w:r>
        <w:rPr>
          <w:rFonts w:hint="eastAsia" w:ascii="仿宋_GB2312"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rPr>
        <w:t>（1）项目的实施进度。</w:t>
      </w:r>
      <w:r>
        <w:rPr>
          <w:rFonts w:hint="eastAsia" w:ascii="仿宋_GB2312" w:eastAsia="仿宋_GB2312" w:cs="Times New Roman"/>
          <w:sz w:val="32"/>
          <w:szCs w:val="32"/>
          <w:lang w:eastAsia="zh-CN"/>
        </w:rPr>
        <w:t>该项目于</w:t>
      </w:r>
      <w:r>
        <w:rPr>
          <w:rFonts w:hint="eastAsia" w:ascii="仿宋_GB2312" w:eastAsia="仿宋_GB2312" w:cs="Times New Roman"/>
          <w:sz w:val="32"/>
          <w:szCs w:val="32"/>
        </w:rPr>
        <w:t>2018年</w:t>
      </w: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月</w:t>
      </w:r>
      <w:r>
        <w:rPr>
          <w:rFonts w:hint="eastAsia" w:ascii="仿宋_GB2312" w:eastAsia="仿宋_GB2312" w:cs="Times New Roman"/>
          <w:sz w:val="32"/>
          <w:szCs w:val="32"/>
          <w:lang w:val="en-US" w:eastAsia="zh-CN"/>
        </w:rPr>
        <w:t>17</w:t>
      </w:r>
      <w:r>
        <w:rPr>
          <w:rFonts w:hint="eastAsia" w:ascii="仿宋_GB2312" w:eastAsia="仿宋_GB2312" w:cs="Times New Roman"/>
          <w:sz w:val="32"/>
          <w:szCs w:val="32"/>
        </w:rPr>
        <w:t>日</w:t>
      </w:r>
      <w:r>
        <w:rPr>
          <w:rFonts w:hint="eastAsia" w:ascii="仿宋_GB2312" w:eastAsia="仿宋_GB2312" w:cs="Times New Roman"/>
          <w:sz w:val="32"/>
          <w:szCs w:val="32"/>
          <w:lang w:eastAsia="zh-CN"/>
        </w:rPr>
        <w:t>开工，</w:t>
      </w:r>
      <w:r>
        <w:rPr>
          <w:rFonts w:hint="eastAsia" w:ascii="仿宋_GB2312" w:eastAsia="仿宋_GB2312" w:cs="Times New Roman"/>
          <w:sz w:val="32"/>
          <w:szCs w:val="32"/>
        </w:rPr>
        <w:t>2018年</w:t>
      </w:r>
      <w:r>
        <w:rPr>
          <w:rFonts w:hint="eastAsia" w:ascii="仿宋_GB2312" w:eastAsia="仿宋_GB2312" w:cs="Times New Roman"/>
          <w:sz w:val="32"/>
          <w:szCs w:val="32"/>
          <w:lang w:val="en-US" w:eastAsia="zh-CN"/>
        </w:rPr>
        <w:t>5</w:t>
      </w:r>
      <w:r>
        <w:rPr>
          <w:rFonts w:hint="eastAsia" w:ascii="仿宋_GB2312" w:eastAsia="仿宋_GB2312" w:cs="Times New Roman"/>
          <w:sz w:val="32"/>
          <w:szCs w:val="32"/>
        </w:rPr>
        <w:t>月</w:t>
      </w:r>
      <w:r>
        <w:rPr>
          <w:rFonts w:hint="eastAsia" w:ascii="仿宋_GB2312" w:eastAsia="仿宋_GB2312" w:cs="Times New Roman"/>
          <w:sz w:val="32"/>
          <w:szCs w:val="32"/>
          <w:lang w:val="en-US" w:eastAsia="zh-CN"/>
        </w:rPr>
        <w:t>17</w:t>
      </w:r>
      <w:r>
        <w:rPr>
          <w:rFonts w:hint="eastAsia" w:ascii="仿宋_GB2312" w:eastAsia="仿宋_GB2312" w:cs="Times New Roman"/>
          <w:sz w:val="32"/>
          <w:szCs w:val="32"/>
        </w:rPr>
        <w:t>日</w:t>
      </w:r>
      <w:r>
        <w:rPr>
          <w:rFonts w:hint="eastAsia" w:ascii="仿宋_GB2312" w:eastAsia="仿宋_GB2312" w:cs="Times New Roman"/>
          <w:sz w:val="32"/>
          <w:szCs w:val="32"/>
          <w:lang w:eastAsia="zh-CN"/>
        </w:rPr>
        <w:t>完工。</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（2）项目完成质量。我单位民丰县项阿克塔什渠首泄洪闸后面加固工程项目实施前期准备工作充分，资金到位及时，按进度拨付款项，完成质量良好。</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rPr>
        <w:t>3.项目的效益性分析</w:t>
      </w:r>
      <w:r>
        <w:rPr>
          <w:rFonts w:hint="eastAsia" w:ascii="仿宋_GB2312"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 xml:space="preserve">（1）已受益贫困户663户，助力我县经济持续健康发展和社会稳定。 </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 xml:space="preserve">4.项目的可持续性分析。民丰县阿克塔什渠首泄洪闸后面加固工程项目，涉及群众生产、生活等方面，较好地提高泄洪闸的泄洪能力，保障渠首的安全运行，保障下游耕地的安全，消除险工，稳定河势的作用，及时解决群众实际困难，改善和提升生产生活条件。 </w:t>
      </w:r>
    </w:p>
    <w:p>
      <w:pPr>
        <w:keepNext w:val="0"/>
        <w:keepLines w:val="0"/>
        <w:pageBreakBefore w:val="0"/>
        <w:widowControl w:val="0"/>
        <w:kinsoku/>
        <w:wordWrap/>
        <w:overflowPunct/>
        <w:topLinePunct w:val="0"/>
        <w:autoSpaceDE/>
        <w:autoSpaceDN/>
        <w:bidi w:val="0"/>
        <w:adjustRightInd/>
        <w:spacing w:line="600" w:lineRule="exact"/>
        <w:ind w:firstLine="723" w:firstLineChars="225"/>
        <w:textAlignment w:val="auto"/>
        <w:rPr>
          <w:rFonts w:hint="eastAsia" w:ascii="仿宋_GB2312" w:eastAsia="仿宋_GB2312" w:cs="Times New Roman"/>
          <w:sz w:val="32"/>
          <w:szCs w:val="32"/>
        </w:rPr>
      </w:pPr>
      <w:r>
        <w:rPr>
          <w:rFonts w:hint="eastAsia" w:ascii="仿宋_GB2312" w:eastAsia="仿宋_GB2312" w:cs="Times New Roman"/>
          <w:b/>
          <w:bCs/>
          <w:sz w:val="32"/>
          <w:szCs w:val="32"/>
        </w:rPr>
        <w:t>（二）项目绩效目标未完成原因分析</w:t>
      </w:r>
      <w:r>
        <w:rPr>
          <w:rFonts w:hint="eastAsia" w:ascii="仿宋_GB2312" w:eastAsia="仿宋_GB2312" w:cs="Times New Roman"/>
          <w:b/>
          <w:bCs/>
          <w:sz w:val="32"/>
          <w:szCs w:val="32"/>
          <w:lang w:eastAsia="zh-CN"/>
        </w:rPr>
        <w:t>。</w:t>
      </w:r>
      <w:r>
        <w:rPr>
          <w:rFonts w:hint="eastAsia" w:ascii="仿宋_GB2312" w:eastAsia="仿宋_GB2312" w:cs="Times New Roman"/>
          <w:sz w:val="32"/>
          <w:szCs w:val="32"/>
        </w:rPr>
        <w:t>民丰县水利局2018年阿克塔什渠首泄洪闸后面加固工程项目，已严格按照《项目立项批复》和项目实施计划如期完成。</w:t>
      </w:r>
    </w:p>
    <w:p>
      <w:pPr>
        <w:keepNext w:val="0"/>
        <w:keepLines w:val="0"/>
        <w:pageBreakBefore w:val="0"/>
        <w:widowControl w:val="0"/>
        <w:kinsoku/>
        <w:wordWrap/>
        <w:overflowPunct/>
        <w:topLinePunct w:val="0"/>
        <w:autoSpaceDE/>
        <w:autoSpaceDN/>
        <w:bidi w:val="0"/>
        <w:adjustRightInd/>
        <w:spacing w:line="600" w:lineRule="exact"/>
        <w:ind w:firstLine="723" w:firstLineChars="225"/>
        <w:textAlignment w:val="auto"/>
        <w:rPr>
          <w:rFonts w:hint="eastAsia" w:ascii="仿宋_GB2312" w:eastAsia="仿宋_GB2312" w:cs="Times New Roman"/>
          <w:b/>
          <w:bCs/>
          <w:sz w:val="32"/>
          <w:szCs w:val="32"/>
        </w:rPr>
      </w:pPr>
      <w:r>
        <w:rPr>
          <w:rFonts w:hint="eastAsia" w:ascii="仿宋_GB2312" w:eastAsia="仿宋_GB2312" w:cs="Times New Roman"/>
          <w:b/>
          <w:bCs/>
          <w:sz w:val="32"/>
          <w:szCs w:val="32"/>
        </w:rPr>
        <w:t>五、其他需要说明的问题</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定期实地勘察该项目，如有损坏及时修复。</w:t>
      </w:r>
    </w:p>
    <w:p>
      <w:pPr>
        <w:keepNext w:val="0"/>
        <w:keepLines w:val="0"/>
        <w:pageBreakBefore w:val="0"/>
        <w:widowControl w:val="0"/>
        <w:kinsoku/>
        <w:wordWrap/>
        <w:overflowPunct/>
        <w:topLinePunct w:val="0"/>
        <w:autoSpaceDE/>
        <w:autoSpaceDN/>
        <w:bidi w:val="0"/>
        <w:adjustRightInd/>
        <w:spacing w:line="600" w:lineRule="exact"/>
        <w:ind w:firstLine="723" w:firstLineChars="225"/>
        <w:textAlignment w:val="auto"/>
        <w:rPr>
          <w:rFonts w:hint="eastAsia" w:ascii="仿宋_GB2312" w:eastAsia="仿宋_GB2312" w:cs="Times New Roman"/>
          <w:b/>
          <w:bCs/>
          <w:sz w:val="32"/>
          <w:szCs w:val="32"/>
        </w:rPr>
      </w:pPr>
      <w:bookmarkStart w:id="0" w:name="_GoBack"/>
      <w:bookmarkEnd w:id="0"/>
      <w:r>
        <w:rPr>
          <w:rFonts w:hint="eastAsia" w:ascii="仿宋_GB2312" w:eastAsia="仿宋_GB2312" w:cs="Times New Roman"/>
          <w:b/>
          <w:bCs/>
          <w:sz w:val="32"/>
          <w:szCs w:val="32"/>
        </w:rPr>
        <w:t>六、项目评价工作情况</w:t>
      </w:r>
    </w:p>
    <w:p>
      <w:pPr>
        <w:keepNext w:val="0"/>
        <w:keepLines w:val="0"/>
        <w:pageBreakBefore w:val="0"/>
        <w:widowControl w:val="0"/>
        <w:kinsoku/>
        <w:wordWrap/>
        <w:overflowPunct/>
        <w:topLinePunct w:val="0"/>
        <w:autoSpaceDE/>
        <w:autoSpaceDN/>
        <w:bidi w:val="0"/>
        <w:adjustRightInd/>
        <w:spacing w:line="600" w:lineRule="exact"/>
        <w:ind w:firstLine="720" w:firstLineChars="225"/>
        <w:textAlignment w:val="auto"/>
        <w:rPr>
          <w:rFonts w:hint="eastAsia" w:ascii="仿宋_GB2312" w:eastAsia="仿宋_GB2312" w:cs="Times New Roman"/>
          <w:sz w:val="32"/>
          <w:szCs w:val="32"/>
        </w:rPr>
      </w:pPr>
      <w:r>
        <w:rPr>
          <w:rFonts w:hint="eastAsia" w:ascii="仿宋_GB2312" w:eastAsia="仿宋_GB2312" w:cs="Times New Roman"/>
          <w:sz w:val="32"/>
          <w:szCs w:val="32"/>
        </w:rPr>
        <w:t>以上评价基础数据收集、资料来源和依据等佐证材料均按照县财政统一下发的相关数据进行核对，并根据数据查阅相关会计凭证，本单位保证对此次项目资金绩效评价相关数据和文字说明的合法性和真实性负责。</w:t>
      </w:r>
    </w:p>
    <w:p>
      <w:pPr>
        <w:keepNext w:val="0"/>
        <w:keepLines w:val="0"/>
        <w:pageBreakBefore w:val="0"/>
        <w:widowControl w:val="0"/>
        <w:kinsoku/>
        <w:wordWrap/>
        <w:overflowPunct/>
        <w:topLinePunct w:val="0"/>
        <w:autoSpaceDE/>
        <w:autoSpaceDN/>
        <w:bidi w:val="0"/>
        <w:adjustRightInd/>
        <w:spacing w:line="600" w:lineRule="exact"/>
        <w:ind w:firstLine="723" w:firstLineChars="225"/>
        <w:textAlignment w:val="auto"/>
        <w:rPr>
          <w:rFonts w:hint="eastAsia" w:ascii="仿宋_GB2312" w:eastAsia="仿宋_GB2312" w:cs="Times New Roman"/>
          <w:b/>
          <w:bCs/>
          <w:sz w:val="32"/>
          <w:szCs w:val="32"/>
        </w:rPr>
      </w:pPr>
      <w:r>
        <w:rPr>
          <w:rFonts w:hint="eastAsia" w:ascii="仿宋_GB2312" w:eastAsia="仿宋_GB2312" w:cs="Times New Roman"/>
          <w:b/>
          <w:bCs/>
          <w:sz w:val="32"/>
          <w:szCs w:val="32"/>
        </w:rPr>
        <w:t>七、附表</w:t>
      </w:r>
    </w:p>
    <w:p>
      <w:pPr>
        <w:spacing w:line="540" w:lineRule="exact"/>
        <w:ind w:firstLine="568" w:firstLineChars="181"/>
        <w:rPr>
          <w:rFonts w:hint="eastAsia" w:ascii="仿宋" w:hAnsi="仿宋" w:eastAsia="仿宋" w:cs="仿宋_GB2312"/>
          <w:color w:val="auto"/>
          <w:spacing w:val="-3"/>
          <w:sz w:val="32"/>
          <w:szCs w:val="32"/>
          <w:highlight w:val="none"/>
          <w:shd w:val="clear" w:color="auto" w:fill="auto"/>
          <w:lang w:eastAsia="zh-CN"/>
        </w:rPr>
      </w:pPr>
      <w:r>
        <w:rPr>
          <w:rFonts w:hint="eastAsia" w:ascii="仿宋" w:hAnsi="仿宋" w:eastAsia="仿宋" w:cs="仿宋_GB2312"/>
          <w:color w:val="auto"/>
          <w:spacing w:val="-3"/>
          <w:sz w:val="32"/>
          <w:szCs w:val="32"/>
          <w:highlight w:val="none"/>
          <w:shd w:val="clear" w:color="auto" w:fill="auto"/>
          <w:lang w:eastAsia="zh-CN"/>
        </w:rPr>
        <w:t>项目支出绩效目标自评表</w:t>
      </w:r>
    </w:p>
    <w:p>
      <w:pPr>
        <w:spacing w:line="540" w:lineRule="auto"/>
        <w:rPr>
          <w:rFonts w:ascii="仿宋" w:hAnsi="仿宋" w:eastAsia="仿宋" w:cs="仿宋"/>
          <w:spacing w:val="-3"/>
          <w:sz w:val="32"/>
        </w:rPr>
      </w:pPr>
    </w:p>
    <w:sectPr>
      <w:footnotePr>
        <w:numFmt w:val="decimal"/>
      </w:footnotePr>
      <w:endnotePr>
        <w:numFmt w:val="decimal"/>
      </w:endnotePr>
      <w:pgSz w:w="11906" w:h="16838"/>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HorizontalSpacing w:val="18546688"/>
  <w:drawingGridVerticalSpacing w:val="18546688"/>
  <w:displayHorizontalDrawingGridEvery w:val="1"/>
  <w:displayVerticalDrawingGridEvery w:val="1"/>
  <w:noPunctuationKerning w:val="1"/>
  <w:endnotePr>
    <w:numFmt w:val="decimal"/>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15356A06"/>
    <w:rsid w:val="162A7601"/>
    <w:rsid w:val="2085708F"/>
    <w:rsid w:val="2DB233D7"/>
    <w:rsid w:val="31DD61D7"/>
    <w:rsid w:val="33E02FE7"/>
    <w:rsid w:val="3FF63006"/>
    <w:rsid w:val="4A7217D2"/>
    <w:rsid w:val="4BF96720"/>
    <w:rsid w:val="57B81E35"/>
    <w:rsid w:val="590839A7"/>
    <w:rsid w:val="5B1E687E"/>
    <w:rsid w:val="5D4041B8"/>
    <w:rsid w:val="628E135B"/>
    <w:rsid w:val="632F092E"/>
    <w:rsid w:val="63F92471"/>
    <w:rsid w:val="669513C9"/>
    <w:rsid w:val="69342B0E"/>
    <w:rsid w:val="6B2E3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Times New Roman"/>
      <w:kern w:val="1"/>
      <w:sz w:val="21"/>
      <w:szCs w:val="22"/>
      <w:lang w:val="en-US" w:eastAsia="zh-CN" w:bidi="ar-SA"/>
    </w:rPr>
  </w:style>
  <w:style w:type="character" w:default="1" w:styleId="6">
    <w:name w:val="Default Paragraph Font"/>
    <w:qFormat/>
    <w:uiPriority w:val="0"/>
    <w:rPr>
      <w:rFonts w:eastAsia="宋体"/>
      <w:kern w:val="0"/>
      <w:sz w:val="20"/>
      <w:szCs w:val="20"/>
      <w:lang w:val="en-US" w:eastAsia="zh-CN" w:bidi="ar-SA"/>
    </w:rPr>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jc w:val="left"/>
    </w:pPr>
    <w:rPr>
      <w:rFonts w:ascii="Calibri" w:hAnsi="Calibri" w:eastAsia="Calibri" w:cs="Times New Roman"/>
      <w:kern w:val="1"/>
      <w:sz w:val="18"/>
      <w:szCs w:val="18"/>
      <w:lang w:val="en-US" w:eastAsia="zh-CN" w:bidi="ar-SA"/>
    </w:rPr>
  </w:style>
  <w:style w:type="paragraph" w:styleId="3">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tabs>
        <w:tab w:val="center" w:pos="4153"/>
        <w:tab w:val="right" w:pos="8306"/>
      </w:tabs>
      <w:jc w:val="center"/>
    </w:pPr>
    <w:rPr>
      <w:rFonts w:ascii="Calibri" w:hAnsi="Calibri" w:eastAsia="Calibri" w:cs="Times New Roman"/>
      <w:kern w:val="1"/>
      <w:sz w:val="18"/>
      <w:szCs w:val="18"/>
      <w:lang w:val="en-US" w:eastAsia="zh-CN" w:bidi="ar-SA"/>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1"/>
      <w:sz w:val="24"/>
      <w:szCs w:val="24"/>
      <w:lang w:val="en-US" w:eastAsia="zh-CN" w:bidi="ar-SA"/>
    </w:rPr>
  </w:style>
  <w:style w:type="character" w:styleId="7">
    <w:name w:val="Strong"/>
    <w:basedOn w:val="6"/>
    <w:qFormat/>
    <w:uiPriority w:val="0"/>
    <w:rPr>
      <w:b/>
      <w:bCs/>
    </w:rPr>
  </w:style>
  <w:style w:type="character" w:styleId="8">
    <w:name w:val="Hyperlink"/>
    <w:qFormat/>
    <w:uiPriority w:val="0"/>
    <w:rPr>
      <w:color w:val="0000FF"/>
      <w:u w:val="single" w:color="auto"/>
    </w:rPr>
  </w:style>
  <w:style w:type="character" w:customStyle="1" w:styleId="9">
    <w:name w:val="页眉 Char"/>
    <w:qFormat/>
    <w:uiPriority w:val="0"/>
    <w:rPr>
      <w:sz w:val="18"/>
      <w:szCs w:val="18"/>
    </w:rPr>
  </w:style>
  <w:style w:type="character" w:customStyle="1" w:styleId="10">
    <w:name w:val="页脚 Char"/>
    <w:qFormat/>
    <w:uiPriority w:val="0"/>
    <w:rPr>
      <w:sz w:val="18"/>
      <w:szCs w:val="18"/>
    </w:rPr>
  </w:style>
  <w:style w:type="character" w:customStyle="1" w:styleId="11">
    <w:name w:val="news_content"/>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Office_11.8.2.8621_F1E327BC-269C-435d-A152-05C5408002CA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2019-01-13T08:57:00Z</dcterms:created>
  <dc:creator>Administrator</dc:creator>
  <cp:lastModifiedBy>Administrator</cp:lastModifiedBy>
  <cp:lastPrinted>2019-01-13T11:14:00Z</cp:lastPrinted>
  <dcterms:modified xsi:type="dcterms:W3CDTF">2020-05-28T10:32:44Z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