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8"/>
          <w:szCs w:val="48"/>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36"/>
          <w:szCs w:val="36"/>
        </w:rPr>
      </w:pPr>
      <w:r>
        <w:rPr>
          <w:rFonts w:hint="eastAsia" w:ascii="方正小标宋_GBK" w:hAnsi="宋体" w:eastAsia="方正小标宋_GBK"/>
          <w:kern w:val="0"/>
          <w:sz w:val="36"/>
          <w:szCs w:val="36"/>
        </w:rPr>
        <w:t>民丰县住房和城乡建设局</w:t>
      </w:r>
    </w:p>
    <w:p>
      <w:pPr>
        <w:widowControl/>
        <w:spacing w:before="100" w:beforeAutospacing="1" w:after="100" w:afterAutospacing="1"/>
        <w:jc w:val="center"/>
        <w:outlineLvl w:val="1"/>
        <w:rPr>
          <w:rFonts w:ascii="方正小标宋_GBK" w:hAnsi="宋体" w:eastAsia="方正小标宋_GBK"/>
          <w:kern w:val="0"/>
          <w:sz w:val="36"/>
          <w:szCs w:val="36"/>
        </w:rPr>
      </w:pPr>
      <w:r>
        <w:rPr>
          <w:rFonts w:hint="eastAsia" w:ascii="方正小标宋_GBK" w:hAnsi="宋体" w:eastAsia="方正小标宋_GBK"/>
          <w:kern w:val="0"/>
          <w:sz w:val="36"/>
          <w:szCs w:val="36"/>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before="100" w:beforeAutospacing="1" w:after="100" w:afterAutospacing="1"/>
        <w:jc w:val="center"/>
        <w:outlineLvl w:val="1"/>
        <w:rPr>
          <w:rFonts w:ascii="方正小标宋_GBK" w:hAnsi="宋体" w:eastAsia="方正小标宋_GBK"/>
          <w:kern w:val="0"/>
          <w:sz w:val="32"/>
          <w:szCs w:val="32"/>
        </w:rPr>
      </w:pPr>
      <w:r>
        <w:rPr>
          <w:rFonts w:hint="eastAsia" w:ascii="仿宋_GB2312" w:hAnsi="宋体" w:eastAsia="仿宋_GB2312"/>
          <w:b/>
          <w:kern w:val="0"/>
          <w:sz w:val="32"/>
          <w:szCs w:val="32"/>
        </w:rPr>
        <w:t xml:space="preserve">第一部分  </w:t>
      </w:r>
      <w:r>
        <w:rPr>
          <w:rFonts w:hint="eastAsia" w:ascii="方正小标宋_GBK" w:hAnsi="宋体" w:eastAsia="方正小标宋_GBK"/>
          <w:kern w:val="0"/>
          <w:sz w:val="32"/>
          <w:szCs w:val="32"/>
        </w:rPr>
        <w:t>民丰县住房和城乡建设局2020年部门预算公开</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一、关于民丰县住房和城乡建设局2020年部门预算公开</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二、关于民丰县住房和城乡建设局2020年部门预算公开</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三、关于民丰县住房和城乡建设局2020年支出预算情况说明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四、关于民丰县住房和城乡建设局2020年财政拨款收支预算情况的总体说明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五、关于民丰县住房和城乡建设局2020年一般公共预算当年拨款情况说明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六、关于民丰县住房和城乡建设局2020年一般公共预算基本支出情况说明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七、关于民丰县住房和城乡建设局2020年项目支出情况说明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八、关于民丰县住房和城乡建设局2020年一般公共预算“三公”经费预算情况说明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九、关于民丰县住房和城乡建设局2020年政府性基金预算拨款情况说明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left"/>
        <w:rPr>
          <w:rFonts w:ascii="黑体" w:hAnsi="黑体" w:eastAsia="黑体"/>
          <w:kern w:val="0"/>
          <w:sz w:val="32"/>
          <w:szCs w:val="32"/>
        </w:rPr>
      </w:pPr>
      <w:r>
        <w:rPr>
          <w:rFonts w:ascii="黑体" w:hAnsi="黑体" w:eastAsia="黑体"/>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民丰县住房和城乡建设局单位概况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1280" w:firstLineChars="400"/>
        <w:jc w:val="left"/>
        <w:rPr>
          <w:rFonts w:hint="eastAsia" w:ascii="仿宋_GB2312" w:hAnsi="新宋体" w:eastAsia="仿宋_GB2312"/>
          <w:b w:val="0"/>
          <w:bCs w:val="0"/>
          <w:sz w:val="32"/>
          <w:szCs w:val="32"/>
          <w:lang w:val="en-US" w:eastAsia="zh-CN"/>
        </w:rPr>
      </w:pPr>
      <w:r>
        <w:rPr>
          <w:rFonts w:hint="eastAsia" w:ascii="仿宋_GB2312" w:hAnsi="新宋体" w:eastAsia="仿宋_GB2312"/>
          <w:b w:val="0"/>
          <w:bCs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1280" w:firstLineChars="400"/>
        <w:jc w:val="left"/>
        <w:rPr>
          <w:rFonts w:ascii="仿宋_GB2312" w:hAnsi="宋体" w:eastAsia="仿宋_GB2312" w:cs="宋体"/>
          <w:kern w:val="0"/>
          <w:sz w:val="32"/>
          <w:szCs w:val="32"/>
        </w:rPr>
      </w:pPr>
      <w:r>
        <w:rPr>
          <w:rFonts w:hint="eastAsia" w:ascii="仿宋_GB2312" w:hAnsi="新宋体" w:eastAsia="仿宋_GB2312"/>
          <w:b w:val="0"/>
          <w:bCs w:val="0"/>
          <w:sz w:val="32"/>
          <w:szCs w:val="32"/>
          <w:lang w:val="en-US" w:eastAsia="zh-CN"/>
        </w:rPr>
        <w:t>略</w:t>
      </w:r>
    </w:p>
    <w:p>
      <w:pPr>
        <w:widowControl/>
        <w:spacing w:line="560" w:lineRule="exact"/>
        <w:jc w:val="left"/>
        <w:rPr>
          <w:rFonts w:ascii="仿宋_GB2312" w:hAnsi="宋体" w:eastAsia="仿宋_GB2312" w:cs="宋体"/>
          <w:kern w:val="0"/>
          <w:sz w:val="32"/>
          <w:szCs w:val="32"/>
        </w:rPr>
      </w:pPr>
    </w:p>
    <w:p>
      <w:pPr>
        <w:widowControl/>
        <w:jc w:val="left"/>
        <w:rPr>
          <w:rFonts w:ascii="黑体" w:hAnsi="黑体" w:eastAsia="黑体"/>
          <w:kern w:val="0"/>
          <w:sz w:val="32"/>
          <w:szCs w:val="32"/>
        </w:rPr>
      </w:pPr>
      <w:r>
        <w:rPr>
          <w:rFonts w:ascii="黑体" w:hAnsi="黑体" w:eastAsia="黑体"/>
          <w:kern w:val="0"/>
          <w:sz w:val="32"/>
          <w:szCs w:val="32"/>
        </w:rPr>
        <w:br w:type="page"/>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编制部门：民丰县住房和城乡建设局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1434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1434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86.73</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ascii="宋体" w:hAnsi="宋体" w:cs="宋体"/>
                <w:color w:val="000000"/>
                <w:kern w:val="0"/>
                <w:sz w:val="18"/>
                <w:szCs w:val="18"/>
              </w:rPr>
              <w:t>1347.27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38" w:hRule="exac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1343</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1343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1343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 民丰县住房和城乡建设局                             单位：万元</w:t>
      </w:r>
    </w:p>
    <w:tbl>
      <w:tblPr>
        <w:tblStyle w:val="7"/>
        <w:tblW w:w="9654" w:type="dxa"/>
        <w:tblInd w:w="-450" w:type="dxa"/>
        <w:tblLayout w:type="fixed"/>
        <w:tblCellMar>
          <w:top w:w="0" w:type="dxa"/>
          <w:left w:w="108" w:type="dxa"/>
          <w:bottom w:w="0" w:type="dxa"/>
          <w:right w:w="108" w:type="dxa"/>
        </w:tblCellMar>
      </w:tblPr>
      <w:tblGrid>
        <w:gridCol w:w="518"/>
        <w:gridCol w:w="466"/>
        <w:gridCol w:w="425"/>
        <w:gridCol w:w="1987"/>
        <w:gridCol w:w="820"/>
        <w:gridCol w:w="842"/>
        <w:gridCol w:w="518"/>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4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8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4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8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4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212</w:t>
            </w:r>
          </w:p>
        </w:tc>
        <w:tc>
          <w:tcPr>
            <w:tcW w:w="46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9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城乡社区支出</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仿宋_GB2312" w:hAnsi="宋体" w:eastAsia="仿宋_GB2312" w:cs="宋体"/>
                <w:color w:val="000000"/>
                <w:sz w:val="20"/>
                <w:szCs w:val="20"/>
                <w:lang w:val="en-US" w:eastAsia="zh-CN"/>
              </w:rPr>
            </w:pPr>
            <w:r>
              <w:rPr>
                <w:rFonts w:hint="eastAsia" w:ascii="宋体" w:hAnsi="宋体" w:eastAsia="仿宋_GB2312" w:cs="宋体"/>
                <w:color w:val="000000"/>
                <w:kern w:val="0"/>
                <w:sz w:val="18"/>
                <w:szCs w:val="18"/>
                <w:lang w:val="en-US" w:eastAsia="zh-CN"/>
              </w:rPr>
              <w:t>1347.28</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lang w:val="en-US" w:eastAsia="zh-CN"/>
              </w:rPr>
              <w:t>1347.28</w:t>
            </w:r>
          </w:p>
        </w:tc>
        <w:tc>
          <w:tcPr>
            <w:tcW w:w="518" w:type="dxa"/>
            <w:tcBorders>
              <w:top w:val="nil"/>
              <w:left w:val="nil"/>
              <w:bottom w:val="single" w:color="auto" w:sz="4" w:space="0"/>
              <w:right w:val="single" w:color="auto" w:sz="4" w:space="0"/>
            </w:tcBorders>
            <w:shd w:val="clear" w:color="000000" w:fill="FFFFFF"/>
            <w:vAlign w:val="center"/>
          </w:tcPr>
          <w:p>
            <w:pPr>
              <w:widowControl/>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8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城乡社区管理事务</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5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198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行政运行（城乡社区管理事务）</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508.80</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508.80</w:t>
            </w:r>
          </w:p>
        </w:tc>
        <w:tc>
          <w:tcPr>
            <w:tcW w:w="5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03</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8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其他城乡社区公共设施支出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278.48</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278.48</w:t>
            </w:r>
          </w:p>
        </w:tc>
        <w:tc>
          <w:tcPr>
            <w:tcW w:w="5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99</w:t>
            </w:r>
          </w:p>
        </w:tc>
        <w:tc>
          <w:tcPr>
            <w:tcW w:w="198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其他城乡社区公共设施支出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278.48</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278.48</w:t>
            </w:r>
          </w:p>
        </w:tc>
        <w:tc>
          <w:tcPr>
            <w:tcW w:w="5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05</w:t>
            </w: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1987"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城乡社区环境卫生</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420</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420</w:t>
            </w:r>
          </w:p>
        </w:tc>
        <w:tc>
          <w:tcPr>
            <w:tcW w:w="5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198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城乡社区环境卫生</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420</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420</w:t>
            </w:r>
          </w:p>
        </w:tc>
        <w:tc>
          <w:tcPr>
            <w:tcW w:w="5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987"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城市公共设施</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5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01</w:t>
            </w:r>
          </w:p>
        </w:tc>
        <w:tc>
          <w:tcPr>
            <w:tcW w:w="1987"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城市基础设施配套费安排的支出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140</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140</w:t>
            </w:r>
          </w:p>
        </w:tc>
        <w:tc>
          <w:tcPr>
            <w:tcW w:w="5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208</w:t>
            </w:r>
          </w:p>
        </w:tc>
        <w:tc>
          <w:tcPr>
            <w:tcW w:w="46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8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社会保障和就业支出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86.73</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86.73</w:t>
            </w:r>
          </w:p>
        </w:tc>
        <w:tc>
          <w:tcPr>
            <w:tcW w:w="5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8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86.73</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86.73</w:t>
            </w:r>
          </w:p>
        </w:tc>
        <w:tc>
          <w:tcPr>
            <w:tcW w:w="5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198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86.73</w:t>
            </w:r>
          </w:p>
        </w:tc>
        <w:tc>
          <w:tcPr>
            <w:tcW w:w="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86.73</w:t>
            </w:r>
          </w:p>
        </w:tc>
        <w:tc>
          <w:tcPr>
            <w:tcW w:w="5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1434</w:t>
            </w:r>
            <w:r>
              <w:rPr>
                <w:rFonts w:hint="eastAsia" w:ascii="仿宋_GB2312" w:eastAsia="仿宋_GB2312"/>
                <w:color w:val="000000"/>
                <w:sz w:val="20"/>
                <w:szCs w:val="20"/>
              </w:rPr>
              <w:t>　</w:t>
            </w:r>
          </w:p>
        </w:tc>
        <w:tc>
          <w:tcPr>
            <w:tcW w:w="84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1434</w:t>
            </w:r>
            <w:r>
              <w:rPr>
                <w:rFonts w:hint="eastAsia" w:ascii="仿宋_GB2312" w:eastAsia="仿宋_GB2312"/>
                <w:color w:val="000000"/>
                <w:sz w:val="20"/>
                <w:szCs w:val="20"/>
              </w:rPr>
              <w:t>　</w:t>
            </w:r>
          </w:p>
        </w:tc>
        <w:tc>
          <w:tcPr>
            <w:tcW w:w="5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民丰县住房和城乡建设局                              单位：万元</w:t>
      </w:r>
    </w:p>
    <w:tbl>
      <w:tblPr>
        <w:tblStyle w:val="7"/>
        <w:tblW w:w="9420" w:type="dxa"/>
        <w:tblInd w:w="-240" w:type="dxa"/>
        <w:tblLayout w:type="fixed"/>
        <w:tblCellMar>
          <w:top w:w="0" w:type="dxa"/>
          <w:left w:w="108" w:type="dxa"/>
          <w:bottom w:w="0" w:type="dxa"/>
          <w:right w:w="108" w:type="dxa"/>
        </w:tblCellMar>
      </w:tblPr>
      <w:tblGrid>
        <w:gridCol w:w="490"/>
        <w:gridCol w:w="425"/>
        <w:gridCol w:w="426"/>
        <w:gridCol w:w="246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212</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464"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城乡社区支出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000000"/>
                <w:sz w:val="18"/>
                <w:szCs w:val="18"/>
                <w:lang w:val="en-US" w:eastAsia="zh-CN"/>
              </w:rPr>
            </w:pPr>
            <w:r>
              <w:rPr>
                <w:rFonts w:hint="eastAsia" w:ascii="宋体" w:hAnsi="宋体" w:eastAsia="仿宋_GB2312" w:cs="宋体"/>
                <w:color w:val="000000"/>
                <w:kern w:val="0"/>
                <w:sz w:val="18"/>
                <w:szCs w:val="18"/>
                <w:lang w:val="en-US" w:eastAsia="zh-CN"/>
              </w:rPr>
              <w:t>1347.28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000000"/>
                <w:sz w:val="18"/>
                <w:szCs w:val="18"/>
                <w:lang w:val="en-US" w:eastAsia="zh-CN"/>
              </w:rPr>
            </w:pPr>
            <w:r>
              <w:rPr>
                <w:rFonts w:hint="eastAsia" w:ascii="宋体" w:hAnsi="宋体" w:eastAsia="仿宋_GB2312" w:cs="宋体"/>
                <w:color w:val="000000"/>
                <w:kern w:val="0"/>
                <w:sz w:val="18"/>
                <w:szCs w:val="18"/>
                <w:lang w:val="en-US" w:eastAsia="zh-CN"/>
              </w:rPr>
              <w:t>508.8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lang w:val="en-US" w:eastAsia="zh-CN"/>
              </w:rPr>
              <w:t>838.48</w:t>
            </w: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464"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城乡社区管理事务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464"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行政运行（城乡社区管理事务）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03</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4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其他城乡社区公共设施支出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278.48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bCs/>
                <w:color w:val="000000"/>
                <w:kern w:val="0"/>
                <w:sz w:val="18"/>
                <w:szCs w:val="18"/>
              </w:rPr>
              <w:t>278.48</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24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其他城乡社区公共设施支出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278.48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rPr>
              <w:t>278.48</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05</w:t>
            </w:r>
          </w:p>
        </w:tc>
        <w:tc>
          <w:tcPr>
            <w:tcW w:w="42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2464"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城乡社区环境卫生</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420</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4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城乡社区环境卫生</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420</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r>
              <w:rPr>
                <w:rFonts w:hint="eastAsia" w:ascii="宋体" w:hAnsi="宋体" w:cs="宋体"/>
                <w:color w:val="000000"/>
                <w:kern w:val="0"/>
                <w:sz w:val="18"/>
                <w:szCs w:val="18"/>
              </w:rPr>
              <w:t>420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2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464"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城市公共设施</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01</w:t>
            </w:r>
          </w:p>
        </w:tc>
        <w:tc>
          <w:tcPr>
            <w:tcW w:w="2464"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城市基础设施配套费安排的支出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140</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r>
              <w:rPr>
                <w:rFonts w:hint="eastAsia" w:ascii="宋体" w:hAnsi="宋体" w:cs="宋体"/>
                <w:color w:val="000000"/>
                <w:kern w:val="0"/>
                <w:sz w:val="18"/>
                <w:szCs w:val="18"/>
              </w:rPr>
              <w:t>140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208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464"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社会保障和就业支出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86.73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86.73</w:t>
            </w:r>
          </w:p>
        </w:tc>
        <w:tc>
          <w:tcPr>
            <w:tcW w:w="19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4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86.73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86.73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2464"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86.73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86.73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p>
        </w:tc>
        <w:tc>
          <w:tcPr>
            <w:tcW w:w="426"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p>
        </w:tc>
        <w:tc>
          <w:tcPr>
            <w:tcW w:w="24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bCs/>
                <w:color w:val="000000"/>
                <w:kern w:val="0"/>
                <w:sz w:val="18"/>
                <w:szCs w:val="18"/>
              </w:rPr>
              <w:t>1434</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bCs/>
                <w:color w:val="000000"/>
                <w:kern w:val="0"/>
                <w:sz w:val="18"/>
                <w:szCs w:val="18"/>
              </w:rPr>
              <w:t>595.53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bCs/>
                <w:color w:val="000000"/>
                <w:kern w:val="0"/>
                <w:sz w:val="18"/>
                <w:szCs w:val="18"/>
              </w:rPr>
              <w:t>838.48</w:t>
            </w:r>
          </w:p>
        </w:tc>
      </w:tr>
    </w:tbl>
    <w:p>
      <w:pPr>
        <w:widowControl/>
        <w:jc w:val="left"/>
        <w:rPr>
          <w:rFonts w:ascii="仿宋_GB2312" w:hAnsi="宋体" w:eastAsia="仿宋_GB2312"/>
          <w:b/>
          <w:kern w:val="0"/>
          <w:sz w:val="32"/>
          <w:szCs w:val="32"/>
        </w:rPr>
      </w:pPr>
      <w:r>
        <w:rPr>
          <w:rFonts w:ascii="仿宋_GB2312" w:hAnsi="宋体" w:eastAsia="仿宋_GB2312"/>
          <w:b/>
          <w:kern w:val="0"/>
          <w:sz w:val="32"/>
          <w:szCs w:val="32"/>
        </w:rPr>
        <w:br w:type="page"/>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民丰县住房和城乡建设局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cs="宋体"/>
                <w:color w:val="000000"/>
                <w:kern w:val="0"/>
                <w:sz w:val="18"/>
                <w:szCs w:val="18"/>
              </w:rPr>
              <w:t>1434</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cs="宋体"/>
                <w:color w:val="000000"/>
                <w:kern w:val="0"/>
                <w:sz w:val="18"/>
                <w:szCs w:val="18"/>
              </w:rPr>
              <w:t>1434</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86，73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86.73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1347.27</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1347.27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1434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1434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1434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民丰县住房和城乡建设局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212</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城乡社区支出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eastAsia="仿宋_GB2312" w:cs="宋体"/>
                <w:color w:val="000000"/>
                <w:kern w:val="0"/>
                <w:sz w:val="18"/>
                <w:szCs w:val="18"/>
                <w:lang w:val="en-US" w:eastAsia="zh-CN"/>
              </w:rPr>
              <w:t>1347.28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eastAsia="仿宋_GB2312" w:cs="宋体"/>
                <w:color w:val="000000"/>
                <w:kern w:val="0"/>
                <w:sz w:val="18"/>
                <w:szCs w:val="18"/>
                <w:lang w:val="en-US" w:eastAsia="zh-CN"/>
              </w:rPr>
              <w:t>508.8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lang w:val="en-US" w:eastAsia="zh-CN"/>
              </w:rPr>
              <w:t>838.48</w:t>
            </w: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城乡社区管理事务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行政运行（城乡社区管理事务）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508.80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其他城乡社区公共设施支出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278.48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bCs/>
                <w:color w:val="000000"/>
                <w:kern w:val="0"/>
                <w:sz w:val="18"/>
                <w:szCs w:val="18"/>
              </w:rPr>
              <w:t>278.48</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其他城乡社区公共设施支出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278.48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rPr>
              <w:t>278.48</w:t>
            </w:r>
          </w:p>
        </w:tc>
      </w:tr>
      <w:tr>
        <w:tblPrEx>
          <w:tblCellMar>
            <w:top w:w="0" w:type="dxa"/>
            <w:left w:w="108" w:type="dxa"/>
            <w:bottom w:w="0" w:type="dxa"/>
            <w:right w:w="108" w:type="dxa"/>
          </w:tblCellMar>
        </w:tblPrEx>
        <w:trPr>
          <w:trHeight w:val="27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城乡社区环境卫生</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420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城乡社区环境卫生</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r>
              <w:rPr>
                <w:rFonts w:hint="eastAsia" w:ascii="宋体" w:hAnsi="宋体" w:cs="宋体"/>
                <w:color w:val="000000"/>
                <w:kern w:val="0"/>
                <w:sz w:val="18"/>
                <w:szCs w:val="18"/>
              </w:rPr>
              <w:t>420</w:t>
            </w:r>
          </w:p>
        </w:tc>
      </w:tr>
      <w:tr>
        <w:tblPrEx>
          <w:tblCellMar>
            <w:top w:w="0" w:type="dxa"/>
            <w:left w:w="108" w:type="dxa"/>
            <w:bottom w:w="0" w:type="dxa"/>
            <w:right w:w="108" w:type="dxa"/>
          </w:tblCellMar>
        </w:tblPrEx>
        <w:trPr>
          <w:trHeight w:val="436"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城市公共设施</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w:t>
            </w:r>
          </w:p>
        </w:tc>
      </w:tr>
      <w:tr>
        <w:tblPrEx>
          <w:tblCellMar>
            <w:top w:w="0" w:type="dxa"/>
            <w:left w:w="108" w:type="dxa"/>
            <w:bottom w:w="0" w:type="dxa"/>
            <w:right w:w="108" w:type="dxa"/>
          </w:tblCellMar>
        </w:tblPrEx>
        <w:trPr>
          <w:trHeight w:val="506"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01</w:t>
            </w:r>
          </w:p>
        </w:tc>
        <w:tc>
          <w:tcPr>
            <w:tcW w:w="2510"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城市基础设施配套费安排的支出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140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r>
              <w:rPr>
                <w:rFonts w:hint="eastAsia" w:ascii="宋体" w:hAnsi="宋体" w:cs="宋体"/>
                <w:color w:val="000000"/>
                <w:kern w:val="0"/>
                <w:sz w:val="18"/>
                <w:szCs w:val="18"/>
              </w:rPr>
              <w:t>140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86.73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86.73</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86.73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86.73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86.73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18"/>
                <w:szCs w:val="18"/>
              </w:rPr>
              <w:t>86.73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bCs/>
                <w:color w:val="000000"/>
                <w:kern w:val="0"/>
                <w:sz w:val="18"/>
                <w:szCs w:val="18"/>
              </w:rPr>
              <w:t>1434</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bCs/>
                <w:color w:val="000000"/>
                <w:kern w:val="0"/>
                <w:sz w:val="18"/>
                <w:szCs w:val="18"/>
              </w:rPr>
              <w:t>595.53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bCs/>
                <w:color w:val="000000"/>
                <w:kern w:val="0"/>
                <w:sz w:val="18"/>
                <w:szCs w:val="18"/>
              </w:rPr>
              <w:t>838.48</w:t>
            </w:r>
          </w:p>
        </w:tc>
      </w:tr>
    </w:tbl>
    <w:p>
      <w:pPr>
        <w:widowControl/>
        <w:jc w:val="left"/>
        <w:outlineLvl w:val="1"/>
        <w:rPr>
          <w:rFonts w:ascii="仿宋_GB2312" w:hAnsi="宋体" w:eastAsia="仿宋_GB2312"/>
          <w:b/>
          <w:kern w:val="0"/>
          <w:sz w:val="32"/>
          <w:szCs w:val="32"/>
        </w:rPr>
      </w:pPr>
    </w:p>
    <w:p>
      <w:pPr>
        <w:widowControl/>
        <w:jc w:val="left"/>
        <w:rPr>
          <w:rFonts w:ascii="仿宋_GB2312" w:hAnsi="宋体" w:eastAsia="仿宋_GB2312"/>
          <w:b/>
          <w:kern w:val="0"/>
          <w:sz w:val="32"/>
          <w:szCs w:val="32"/>
        </w:rPr>
      </w:pPr>
      <w:r>
        <w:rPr>
          <w:rFonts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00"/>
        <w:gridCol w:w="2968"/>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民丰县住房和城乡建设局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257"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9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9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hint="default" w:ascii="仿宋_GB2312" w:hAnsi="宋体" w:eastAsia="仿宋_GB2312" w:cs="宋体"/>
                <w:color w:val="000000"/>
                <w:kern w:val="0"/>
                <w:sz w:val="20"/>
                <w:szCs w:val="20"/>
                <w:lang w:val="en-US" w:eastAsia="zh-CN"/>
              </w:rPr>
            </w:pPr>
            <w:r>
              <w:rPr>
                <w:rFonts w:hint="eastAsia" w:ascii="宋体" w:hAnsi="宋体" w:eastAsia="仿宋_GB2312" w:cs="宋体"/>
                <w:color w:val="000000"/>
                <w:kern w:val="0"/>
                <w:sz w:val="18"/>
                <w:szCs w:val="18"/>
                <w:lang w:val="en-US" w:eastAsia="zh-CN"/>
              </w:rPr>
              <w:t>301</w:t>
            </w:r>
          </w:p>
        </w:tc>
        <w:tc>
          <w:tcPr>
            <w:tcW w:w="500"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2968"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bCs/>
                <w:color w:val="000000"/>
                <w:kern w:val="0"/>
                <w:sz w:val="20"/>
                <w:szCs w:val="20"/>
              </w:rPr>
              <w:t>469.59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bCs/>
                <w:color w:val="000000"/>
                <w:kern w:val="0"/>
                <w:sz w:val="20"/>
                <w:szCs w:val="20"/>
              </w:rPr>
              <w:t>469.59</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01</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 xml:space="preserve">  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122.07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122.07</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18"/>
                <w:szCs w:val="18"/>
                <w:lang w:val="en-US" w:eastAsia="zh-CN"/>
              </w:rPr>
              <w:t>02</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267.74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267.74</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18"/>
                <w:szCs w:val="18"/>
                <w:lang w:val="en-US" w:eastAsia="zh-CN"/>
              </w:rPr>
              <w:t>03</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7.75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7.75</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社会保障缴费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43.4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86.73</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w:t>
            </w:r>
          </w:p>
        </w:tc>
        <w:tc>
          <w:tcPr>
            <w:tcW w:w="2968"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86.73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86.73</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28.62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28.62</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0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bCs/>
                <w:color w:val="000000"/>
                <w:kern w:val="0"/>
                <w:sz w:val="20"/>
                <w:szCs w:val="20"/>
              </w:rPr>
              <w:t>29.65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bCs/>
                <w:color w:val="000000"/>
                <w:kern w:val="0"/>
                <w:sz w:val="20"/>
                <w:szCs w:val="20"/>
              </w:rPr>
              <w:t>29.65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办公费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水电费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7</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邮电费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8</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取暖费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6.92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6.92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交通费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差旅费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工会经费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6.49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6.49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福利费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5.84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5.84</w:t>
            </w:r>
          </w:p>
        </w:tc>
      </w:tr>
      <w:tr>
        <w:tblPrEx>
          <w:tblCellMar>
            <w:top w:w="0" w:type="dxa"/>
            <w:left w:w="108" w:type="dxa"/>
            <w:bottom w:w="0" w:type="dxa"/>
            <w:right w:w="108" w:type="dxa"/>
          </w:tblCellMar>
        </w:tblPrEx>
        <w:trPr>
          <w:trHeight w:val="41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18"/>
                <w:szCs w:val="18"/>
                <w:lang w:val="en-US" w:eastAsia="zh-CN"/>
              </w:rPr>
              <w:t>303</w:t>
            </w:r>
          </w:p>
        </w:tc>
        <w:tc>
          <w:tcPr>
            <w:tcW w:w="50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296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bCs/>
                <w:color w:val="000000"/>
                <w:kern w:val="0"/>
                <w:sz w:val="20"/>
                <w:szCs w:val="20"/>
              </w:rPr>
              <w:t>9.5</w:t>
            </w:r>
            <w:r>
              <w:rPr>
                <w:rFonts w:hint="eastAsia" w:ascii="宋体" w:hAnsi="宋体" w:cs="宋体"/>
                <w:bCs/>
                <w:color w:val="000000"/>
                <w:kern w:val="0"/>
                <w:sz w:val="20"/>
                <w:szCs w:val="20"/>
                <w:lang w:val="en-US" w:eastAsia="zh-CN"/>
              </w:rPr>
              <w:t>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bCs/>
                <w:color w:val="000000"/>
                <w:kern w:val="0"/>
                <w:sz w:val="20"/>
                <w:szCs w:val="20"/>
              </w:rPr>
              <w:t>9.5</w:t>
            </w:r>
            <w:r>
              <w:rPr>
                <w:rFonts w:hint="eastAsia" w:ascii="宋体" w:hAnsi="宋体" w:cs="宋体"/>
                <w:bCs/>
                <w:color w:val="000000"/>
                <w:kern w:val="0"/>
                <w:sz w:val="20"/>
                <w:szCs w:val="20"/>
                <w:lang w:val="en-US" w:eastAsia="zh-CN"/>
              </w:rPr>
              <w:t>5</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968"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退休费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8.67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8.67</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968"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生活补助费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0.88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9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bCs/>
                <w:color w:val="000000"/>
                <w:kern w:val="0"/>
                <w:sz w:val="20"/>
                <w:szCs w:val="20"/>
              </w:rPr>
              <w:t>595.5</w:t>
            </w:r>
            <w:r>
              <w:rPr>
                <w:rFonts w:hint="eastAsia" w:ascii="宋体" w:hAnsi="宋体" w:cs="宋体"/>
                <w:bCs/>
                <w:color w:val="000000"/>
                <w:kern w:val="0"/>
                <w:sz w:val="20"/>
                <w:szCs w:val="20"/>
                <w:lang w:val="en-US" w:eastAsia="zh-CN"/>
              </w:rPr>
              <w:t>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565.87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29.65</w:t>
            </w:r>
          </w:p>
        </w:tc>
      </w:tr>
    </w:tbl>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776" w:type="dxa"/>
        <w:tblInd w:w="-360" w:type="dxa"/>
        <w:tblLayout w:type="fixed"/>
        <w:tblCellMar>
          <w:top w:w="0" w:type="dxa"/>
          <w:left w:w="108" w:type="dxa"/>
          <w:bottom w:w="0" w:type="dxa"/>
          <w:right w:w="108" w:type="dxa"/>
        </w:tblCellMar>
      </w:tblPr>
      <w:tblGrid>
        <w:gridCol w:w="8"/>
        <w:gridCol w:w="602"/>
        <w:gridCol w:w="425"/>
        <w:gridCol w:w="426"/>
        <w:gridCol w:w="1134"/>
        <w:gridCol w:w="1275"/>
        <w:gridCol w:w="488"/>
        <w:gridCol w:w="221"/>
        <w:gridCol w:w="425"/>
        <w:gridCol w:w="662"/>
        <w:gridCol w:w="575"/>
        <w:gridCol w:w="748"/>
        <w:gridCol w:w="282"/>
        <w:gridCol w:w="285"/>
        <w:gridCol w:w="334"/>
        <w:gridCol w:w="524"/>
        <w:gridCol w:w="474"/>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689"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民丰县住房和城乡建设局   </w:t>
            </w:r>
          </w:p>
        </w:tc>
        <w:tc>
          <w:tcPr>
            <w:tcW w:w="1308"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0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13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75"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0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2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6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7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74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6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3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2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7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10"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5"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34"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27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0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6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4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3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2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7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212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6" w:type="dxa"/>
          </w:tcPr>
          <w:p>
            <w:pPr>
              <w:widowControl/>
              <w:jc w:val="left"/>
              <w:outlineLvl w:val="1"/>
              <w:rPr>
                <w:rFonts w:asciiTheme="minorEastAsia" w:hAnsiTheme="minorEastAsia" w:eastAsiaTheme="minorEastAsia"/>
                <w:kern w:val="0"/>
                <w:sz w:val="18"/>
                <w:szCs w:val="18"/>
              </w:rPr>
            </w:pP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城乡社区支出</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民丰县城集中供热二期工程</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140</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140</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05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城乡社区环境卫生</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民丰县城集中供热二期工程</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140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140　</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01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城乡社区环境卫生</w:t>
            </w:r>
            <w:r>
              <w:rPr>
                <w:rFonts w:hint="eastAsia" w:asciiTheme="minorEastAsia" w:hAnsiTheme="minorEastAsia" w:eastAsiaTheme="minorEastAsia"/>
                <w:kern w:val="0"/>
                <w:sz w:val="18"/>
                <w:szCs w:val="18"/>
              </w:rPr>
              <w:t>　</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民丰县城集中供热二期工程</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140</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140</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212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城乡社区支出</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2013年城市市容环境整治项目</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68.48</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68.48　</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03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其他城乡社区公共设施支出</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2013年城市市容环境整治项目</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68.48</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68.48</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99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其他城乡社区公共设施支出</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2013年城市市容环境整治项目</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68.48</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68.48　</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212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城乡社区支出</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民丰县城市环境综合一体化项目</w:t>
            </w:r>
            <w:r>
              <w:rPr>
                <w:rFonts w:hint="eastAsia" w:asciiTheme="minorEastAsia" w:hAnsiTheme="minorEastAsia" w:eastAsiaTheme="minorEastAsia"/>
                <w:kern w:val="0"/>
                <w:sz w:val="18"/>
                <w:szCs w:val="18"/>
              </w:rPr>
              <w:t>　</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420</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420</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05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城乡社区环境卫生</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民丰县城市环境综合一体化项目</w:t>
            </w:r>
            <w:r>
              <w:rPr>
                <w:rFonts w:hint="eastAsia" w:asciiTheme="minorEastAsia" w:hAnsiTheme="minorEastAsia" w:eastAsiaTheme="minorEastAsia"/>
                <w:kern w:val="0"/>
                <w:sz w:val="18"/>
                <w:szCs w:val="18"/>
              </w:rPr>
              <w:t>　</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420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420</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01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城乡社区环境卫生</w:t>
            </w:r>
            <w:r>
              <w:rPr>
                <w:rFonts w:hint="eastAsia" w:asciiTheme="minorEastAsia" w:hAnsiTheme="minorEastAsia" w:eastAsiaTheme="minorEastAsia"/>
                <w:kern w:val="0"/>
                <w:sz w:val="18"/>
                <w:szCs w:val="18"/>
              </w:rPr>
              <w:t>　</w:t>
            </w:r>
          </w:p>
        </w:tc>
        <w:tc>
          <w:tcPr>
            <w:tcW w:w="12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r>
              <w:rPr>
                <w:rFonts w:hint="eastAsia" w:cs="宋体" w:asciiTheme="minorEastAsia" w:hAnsiTheme="minorEastAsia" w:eastAsiaTheme="minorEastAsia"/>
                <w:color w:val="000000"/>
                <w:kern w:val="0"/>
                <w:sz w:val="18"/>
                <w:szCs w:val="18"/>
              </w:rPr>
              <w:t>民丰县城市环境综合一体化项目</w:t>
            </w:r>
            <w:r>
              <w:rPr>
                <w:rFonts w:hint="eastAsia" w:asciiTheme="minorEastAsia" w:hAnsiTheme="minorEastAsia" w:eastAsiaTheme="minorEastAsia"/>
                <w:kern w:val="0"/>
                <w:sz w:val="18"/>
                <w:szCs w:val="18"/>
              </w:rPr>
              <w:t>　</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420</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420</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212</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城乡社区支出</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城市维护费　</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210</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210</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03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其他城乡社区公共设施支出</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城市维护费　</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210</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210</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p>
        </w:tc>
        <w:tc>
          <w:tcPr>
            <w:tcW w:w="425" w:type="dxa"/>
          </w:tcPr>
          <w:p>
            <w:pPr>
              <w:widowControl/>
              <w:jc w:val="left"/>
              <w:outlineLvl w:val="1"/>
              <w:rPr>
                <w:rFonts w:asciiTheme="minorEastAsia" w:hAnsiTheme="minorEastAsia" w:eastAsiaTheme="minorEastAsia"/>
                <w:kern w:val="0"/>
                <w:sz w:val="18"/>
                <w:szCs w:val="18"/>
              </w:rPr>
            </w:pP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99</w:t>
            </w:r>
          </w:p>
        </w:tc>
        <w:tc>
          <w:tcPr>
            <w:tcW w:w="1134"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其他城乡社区公共设施支出</w:t>
            </w:r>
          </w:p>
        </w:tc>
        <w:tc>
          <w:tcPr>
            <w:tcW w:w="1275" w:type="dxa"/>
          </w:tcPr>
          <w:p>
            <w:pPr>
              <w:widowControl/>
              <w:jc w:val="left"/>
              <w:outlineLvl w:val="1"/>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城市维护费　</w:t>
            </w:r>
          </w:p>
        </w:tc>
        <w:tc>
          <w:tcPr>
            <w:tcW w:w="709"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210</w:t>
            </w:r>
          </w:p>
        </w:tc>
        <w:tc>
          <w:tcPr>
            <w:tcW w:w="425" w:type="dxa"/>
          </w:tcPr>
          <w:p>
            <w:pPr>
              <w:widowControl/>
              <w:jc w:val="left"/>
              <w:outlineLvl w:val="1"/>
              <w:rPr>
                <w:rFonts w:asciiTheme="minorEastAsia" w:hAnsiTheme="minorEastAsia" w:eastAsiaTheme="minorEastAsia"/>
                <w:kern w:val="0"/>
                <w:sz w:val="18"/>
                <w:szCs w:val="18"/>
              </w:rPr>
            </w:pP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210</w:t>
            </w:r>
          </w:p>
        </w:tc>
        <w:tc>
          <w:tcPr>
            <w:tcW w:w="575" w:type="dxa"/>
          </w:tcPr>
          <w:p>
            <w:pPr>
              <w:widowControl/>
              <w:jc w:val="left"/>
              <w:outlineLvl w:val="1"/>
              <w:rPr>
                <w:rFonts w:asciiTheme="minorEastAsia" w:hAnsiTheme="minorEastAsia" w:eastAsiaTheme="minorEastAsia"/>
                <w:kern w:val="0"/>
                <w:sz w:val="18"/>
                <w:szCs w:val="18"/>
              </w:rPr>
            </w:pPr>
          </w:p>
        </w:tc>
        <w:tc>
          <w:tcPr>
            <w:tcW w:w="748" w:type="dxa"/>
          </w:tcPr>
          <w:p>
            <w:pPr>
              <w:widowControl/>
              <w:jc w:val="left"/>
              <w:outlineLvl w:val="1"/>
              <w:rPr>
                <w:rFonts w:asciiTheme="minorEastAsia" w:hAnsiTheme="minorEastAsia" w:eastAsiaTheme="minorEastAsia"/>
                <w:kern w:val="0"/>
                <w:sz w:val="18"/>
                <w:szCs w:val="18"/>
              </w:rPr>
            </w:pPr>
          </w:p>
        </w:tc>
        <w:tc>
          <w:tcPr>
            <w:tcW w:w="567" w:type="dxa"/>
            <w:gridSpan w:val="2"/>
          </w:tcPr>
          <w:p>
            <w:pPr>
              <w:widowControl/>
              <w:jc w:val="left"/>
              <w:outlineLvl w:val="1"/>
              <w:rPr>
                <w:rFonts w:asciiTheme="minorEastAsia" w:hAnsiTheme="minorEastAsia" w:eastAsiaTheme="minorEastAsia"/>
                <w:kern w:val="0"/>
                <w:sz w:val="18"/>
                <w:szCs w:val="18"/>
              </w:rPr>
            </w:pPr>
          </w:p>
        </w:tc>
        <w:tc>
          <w:tcPr>
            <w:tcW w:w="334" w:type="dxa"/>
          </w:tcPr>
          <w:p>
            <w:pPr>
              <w:widowControl/>
              <w:jc w:val="left"/>
              <w:outlineLvl w:val="1"/>
              <w:rPr>
                <w:rFonts w:asciiTheme="minorEastAsia" w:hAnsiTheme="minorEastAsia" w:eastAsiaTheme="minorEastAsia"/>
                <w:kern w:val="0"/>
                <w:sz w:val="18"/>
                <w:szCs w:val="18"/>
              </w:rPr>
            </w:pPr>
          </w:p>
        </w:tc>
        <w:tc>
          <w:tcPr>
            <w:tcW w:w="524" w:type="dxa"/>
          </w:tcPr>
          <w:p>
            <w:pPr>
              <w:widowControl/>
              <w:jc w:val="left"/>
              <w:outlineLvl w:val="1"/>
              <w:rPr>
                <w:rFonts w:asciiTheme="minorEastAsia" w:hAnsiTheme="minorEastAsia" w:eastAsiaTheme="minorEastAsia"/>
                <w:kern w:val="0"/>
                <w:sz w:val="18"/>
                <w:szCs w:val="18"/>
              </w:rPr>
            </w:pPr>
          </w:p>
        </w:tc>
        <w:tc>
          <w:tcPr>
            <w:tcW w:w="474" w:type="dxa"/>
          </w:tcPr>
          <w:p>
            <w:pPr>
              <w:widowControl/>
              <w:jc w:val="left"/>
              <w:outlineLvl w:val="1"/>
              <w:rPr>
                <w:rFonts w:asciiTheme="minorEastAsia" w:hAnsiTheme="minorEastAsia" w:eastAsiaTheme="minorEastAsia"/>
                <w:kern w:val="0"/>
                <w:sz w:val="18"/>
                <w:szCs w:val="18"/>
              </w:rPr>
            </w:pPr>
          </w:p>
        </w:tc>
        <w:tc>
          <w:tcPr>
            <w:tcW w:w="420" w:type="dxa"/>
          </w:tcPr>
          <w:p>
            <w:pPr>
              <w:widowControl/>
              <w:jc w:val="left"/>
              <w:outlineLvl w:val="1"/>
              <w:rPr>
                <w:rFonts w:asciiTheme="minorEastAsia" w:hAnsiTheme="minorEastAsia" w:eastAsiaTheme="minorEastAsia"/>
                <w:kern w:val="0"/>
                <w:sz w:val="18"/>
                <w:szCs w:val="18"/>
              </w:rPr>
            </w:pPr>
          </w:p>
        </w:tc>
        <w:tc>
          <w:tcPr>
            <w:tcW w:w="468" w:type="dxa"/>
            <w:gridSpan w:val="2"/>
          </w:tcPr>
          <w:p>
            <w:pPr>
              <w:widowControl/>
              <w:jc w:val="left"/>
              <w:outlineLvl w:val="1"/>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6"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1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275" w:type="dxa"/>
            <w:vAlign w:val="center"/>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合计</w:t>
            </w:r>
          </w:p>
        </w:tc>
        <w:tc>
          <w:tcPr>
            <w:tcW w:w="709" w:type="dxa"/>
            <w:gridSpan w:val="2"/>
            <w:vAlign w:val="center"/>
          </w:tcPr>
          <w:p>
            <w:pPr>
              <w:widowControl/>
              <w:jc w:val="left"/>
              <w:textAlignment w:val="center"/>
              <w:rPr>
                <w:rFonts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838.48</w:t>
            </w:r>
          </w:p>
        </w:tc>
        <w:tc>
          <w:tcPr>
            <w:tcW w:w="42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662"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630　</w:t>
            </w:r>
          </w:p>
        </w:tc>
        <w:tc>
          <w:tcPr>
            <w:tcW w:w="575"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748"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208.48</w:t>
            </w:r>
          </w:p>
        </w:tc>
        <w:tc>
          <w:tcPr>
            <w:tcW w:w="567"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33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52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74"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0" w:type="dxa"/>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68" w:type="dxa"/>
            <w:gridSpan w:val="2"/>
          </w:tcPr>
          <w:p>
            <w:pPr>
              <w:widowControl/>
              <w:jc w:val="left"/>
              <w:outlineLvl w:val="1"/>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编制单位：民丰县住房和城乡建设局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p>
    <w:p>
      <w:pPr>
        <w:widowControl/>
        <w:jc w:val="left"/>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民丰县住房和城乡建设局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关于民丰县住房和城乡建设局2020年收支预算情况的总体说明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按照全口径预算的原则，民丰县住房和城乡建设局2020年所有收入和支出均纳入部门预算管理。收支总预算1434万元。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支出预算包括：社会保障和就业支出、城乡社区支出。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二、关于民丰县住房和城乡建设局2020年收入预算情况说明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民丰县住房和城乡建设局收入预算 1434万元，其中：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 1434万元，占 100 %，比上年增加 205.07  万元，主要原因是加快了项目审计，加快了项目执行。</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三、关于民丰县住房和城乡建设局单位2020年支出预算情况说明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民丰县住房和城乡建设局单位2020年支出预算 1434 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 595.5</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万元，占41.53%，比上年减少159.41 万元，主要原因是，本单位垃圾车辆减少，公用经费减少。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 838.48 万元，占58.47%，比上年增加364.48万元，主要原因是加快了项目审计，加快了项目执行。</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四、关于民丰县住房和城乡建设局2020年财政拨款收支预算情况的总体说明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2020年财政拨款收支总预算1434万元；其中社会保障和就业支出86.73万元，城乡社区支出1347.27万元。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16" w:firstLineChars="200"/>
        <w:rPr>
          <w:rFonts w:hint="eastAsia" w:ascii="仿宋_GB2312" w:hAnsi="宋体" w:eastAsia="仿宋_GB2312" w:cs="宋体"/>
          <w:kern w:val="0"/>
          <w:sz w:val="32"/>
          <w:szCs w:val="32"/>
        </w:rPr>
      </w:pPr>
      <w:r>
        <w:rPr>
          <w:rFonts w:hint="eastAsia" w:ascii="仿宋_GB2312" w:hAnsi="宋体" w:eastAsia="仿宋_GB2312" w:cs="宋体"/>
          <w:spacing w:val="-6"/>
          <w:kern w:val="0"/>
          <w:sz w:val="32"/>
          <w:szCs w:val="32"/>
        </w:rPr>
        <w:t>支出预算包括：</w:t>
      </w:r>
      <w:r>
        <w:rPr>
          <w:rFonts w:hint="eastAsia" w:ascii="仿宋_GB2312" w:hAnsi="宋体" w:eastAsia="仿宋_GB2312" w:cs="宋体"/>
          <w:kern w:val="0"/>
          <w:sz w:val="32"/>
          <w:szCs w:val="32"/>
        </w:rPr>
        <w:t>社会保障和就业支出86.73万元，主要用于养老保险支出；城乡社区支出1347.27万元主要用于工资福利支出，商品服务支出，项目支出。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五、关于民丰县住房和城乡建设局2020年一般公共预算当年拨款情况说明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民丰县住房和城乡建设局2020年一般公共预算拨款基本支出595.53万元，比上年执行数减少264.23万元，下降30.7%。主要原因是：机构改革人员减少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城乡社区支出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类</w:t>
      </w:r>
      <w:r>
        <w:rPr>
          <w:rFonts w:ascii="仿宋_GB2312" w:hAnsi="宋体" w:eastAsia="仿宋_GB2312" w:cs="宋体"/>
          <w:kern w:val="0"/>
          <w:sz w:val="32"/>
          <w:szCs w:val="32"/>
        </w:rPr>
        <w:t>）</w:t>
      </w:r>
      <w:r>
        <w:rPr>
          <w:rFonts w:hint="eastAsia" w:ascii="仿宋_GB2312" w:eastAsia="仿宋_GB2312"/>
          <w:sz w:val="32"/>
          <w:szCs w:val="32"/>
        </w:rPr>
        <w:t>1347.27万元，占94%。</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2.社会保障和就业支出（类）86.73万元，占6</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1.2120101城乡社区支出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类）城乡社区管理事务（款）行</w:t>
      </w:r>
      <w:r>
        <w:rPr>
          <w:rFonts w:ascii="仿宋_GB2312" w:hAnsi="宋体" w:eastAsia="仿宋_GB2312" w:cs="宋体"/>
          <w:kern w:val="0"/>
          <w:sz w:val="32"/>
          <w:szCs w:val="32"/>
        </w:rPr>
        <w:t>政运行（</w:t>
      </w:r>
      <w:r>
        <w:rPr>
          <w:rFonts w:hint="eastAsia" w:ascii="仿宋_GB2312" w:hAnsi="宋体" w:eastAsia="仿宋_GB2312" w:cs="宋体"/>
          <w:kern w:val="0"/>
          <w:sz w:val="32"/>
          <w:szCs w:val="32"/>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预算数为508.80万元，比上年执行数减少290.2807万元，下降36.3%，主要原因是：预算项目有所减少。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2.2120399城乡社区支出（类）其他城乡社区公共设施支出（款）其他城乡社区公共设施支出（项）：2020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278.48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比上年执行数减少53.55万元，下降16%，主要原因是：预算项目有所减少。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3.2120501城乡社区支出（类）城乡社区环境卫生（款）城乡社区环境卫生（项）：2020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420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比上年执行数减少1525.98万元，下降78.4 %，主要原因是：预算项目有所减少。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4.2121301城乡社区支出（类）城市公共设施（款）城市基础设施配套费安排的支出（项）：2020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140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比上年执行数减少903.3654万元，下降86.7 %，主要原因是：预算项目有所减少。</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5.</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rPr>
        <w:t>行政事业单位养老支出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机关事业单位基本养老保险缴费支出（项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86.73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比上年执行数增加25.98万元，增长42.8%，主要原因是：本单位人员增加，工资基数调整。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六、关于民丰县住房和城乡建设局2020年一般公共预算基本支出情况说明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民丰县住房和城乡建设局2020年一般公共预算基本支出595.52万元，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 565.87万元，主要包括：基本工资、津贴补贴、奖金、绩效工资、机关事业单位基本养老保险缴费、职业年金缴费、职工基本医疗保险缴费、公务员医疗补助缴费、其他社会保障缴费、住房公积金、医疗费、其他工资福利支出、退休费、生活补助、医疗费补助、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 29.65 万元，主要包括：办公费、水费、电费、邮电费、取暖费、差旅费、公会经费、福利经费等。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七、关于民丰县住房和城乡建设局2020年项目支出情况说明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：2020年民丰县城区集中供热项目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：按照自治区发改委下达的新发改投资（2014）2376号文件</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：140万</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：民丰县住房和城乡建设局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：财政拨款140万</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：2020年4.27日-2020年5月1日</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：2020年民丰县城市公共基础维修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：《国民经济和社会发展第十一个五年计划规划纲要》</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：210万元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：民丰县住房和城乡建设局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：财政拨款210万元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：2020年1月-12月</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：2020年民丰县城市环境综合服务一体化服务</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：《关于开展政府和社会资本合作的指导意见》</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：420万</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：民丰县住房和城乡建设局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：财政拨款420万元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：2020年1月-2020年12月</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：民丰县城市市容环境改造项目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：依据民发改字（2012-163号文件《关于对民丰县城市市容环境改造项目实施方案的批复》）</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：68.48万元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：民丰县住房和城乡建设局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：财政拨款68.48万元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：2020年4月-2020年 5月</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八、关于民丰县住房和城乡建设局2020年一般公共预算“三公”经费预算情况说明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民丰县住房和城乡建设局2020年“三公”经费财政拨款预算数为  2 万元，其中：因公出国（境）费  0 万元，公务用车购置  0 万元，公务用车运行费  2 万元，公务接待费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万元，其中：因公出国（境）费增加0万元，主要原因是因公出国（境）费支出未安排预算；公务用车购置费为0，未安排预算。公务用车运行费增加0万元，主要原因是车辆数量未发生变化；公务接待费增加0万元，主要原因是公务接待费支出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九、关于民丰县住房和城乡建设局2020年政府性基金预算拨款情况说明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民丰县住房和城乡建设局2020年没有使用政府性基金预算拨款安排的支出，政府性基金预算支出情况表为空表。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2020年，民丰县住房和城乡建设局本级及下属 1 家行政单位和3家事业单位的机关运行经费财政拨款预算29.65万元，比上年预算增加9.79万元，增长33 %。主要原因是增加办公用房面积，增加取暖费。</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2020年，民丰县住房和城乡建设局及下属单位政府采购预算 420万元，其中：政府采购货物预算0 万元，政府采购工程预算 0万元，政府采购服务预算 420万元。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w:t>
      </w:r>
      <w:r>
        <w:rPr>
          <w:rFonts w:hint="eastAsia" w:ascii="仿宋_GB2312" w:hAnsi="宋体" w:eastAsia="仿宋_GB2312" w:cs="宋体"/>
          <w:kern w:val="0"/>
          <w:sz w:val="32"/>
          <w:szCs w:val="32"/>
        </w:rPr>
        <w:t>420</w:t>
      </w:r>
      <w:r>
        <w:rPr>
          <w:rFonts w:hint="eastAsia" w:ascii="仿宋_GB2312" w:hAnsi="仿宋_GB2312" w:eastAsia="仿宋_GB2312"/>
          <w:sz w:val="32"/>
        </w:rPr>
        <w:t>万元，其中：面向小微企业预留政府采购项目预算金额</w:t>
      </w:r>
      <w:r>
        <w:rPr>
          <w:rFonts w:hint="eastAsia" w:ascii="仿宋_GB2312" w:hAnsi="宋体" w:eastAsia="仿宋_GB2312" w:cs="宋体"/>
          <w:kern w:val="0"/>
          <w:sz w:val="32"/>
          <w:szCs w:val="32"/>
        </w:rPr>
        <w:t>420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截至2019年底，民丰县住房和城乡建设局及下属各预算单位占用使用国有资产总体情况为：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  205  平方米，价值84.48万元。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2.车辆4 辆，价值386.16万元；其中：一般公务用车1辆，价值15万元；执法执勤用车 1辆，价值 10 万元；其他车辆 2 辆，价值361.16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3.办公家具价值1.14万元。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4 个，涉及预算金额838.48万元。具体情况见下表（按项目分别填报）：</w:t>
      </w:r>
    </w:p>
    <w:p>
      <w:p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民丰县建设局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2020年民丰县城区集中供热项目</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140万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140万</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目标1：:</w:t>
            </w:r>
            <w:r>
              <w:rPr>
                <w:rFonts w:hint="eastAsia" w:ascii="宋体" w:hAnsi="宋体" w:cs="宋体"/>
                <w:color w:val="000000"/>
                <w:kern w:val="0"/>
                <w:sz w:val="18"/>
                <w:szCs w:val="18"/>
              </w:rPr>
              <w:t>该项目为民丰县城区集中供热二期工程偿还债务。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目标2：通过该项目的实施有效提高项目债务偿还率，促使资金使用良性循环，解决县城供暖“难题，创造良好的人居环境。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偿还民丰县城区集中供热二期工程债务成本</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140万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偿还及时率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偿还项目数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偿还及时率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改善县城城区环境空气质量，缓解大气污染</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有效</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县城集中供热提高率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提高项目债务偿还率，促进资金使用良性循环</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有效</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项目持续时间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1年</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县城集中供热提高率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≥90%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sectPr>
          <w:pgSz w:w="16838" w:h="11906" w:orient="landscape"/>
          <w:pgMar w:top="1800" w:right="1440" w:bottom="1800" w:left="144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民丰县建设局</w:t>
            </w:r>
          </w:p>
          <w:p>
            <w:pPr>
              <w:widowControl/>
              <w:jc w:val="center"/>
              <w:rPr>
                <w:rFonts w:ascii="宋体" w:hAnsi="宋体" w:cs="宋体"/>
                <w:kern w:val="0"/>
                <w:sz w:val="18"/>
                <w:szCs w:val="18"/>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2020年民丰县城市公共基础维修</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210万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210万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：该项目对民丰县城市公共设施、管网进行日常的运行维护进行保障。主要用于城市路灯电费、绿化水费、管网维修、路面修复等。</w:t>
            </w:r>
          </w:p>
          <w:p>
            <w:pPr>
              <w:widowControl/>
              <w:jc w:val="left"/>
              <w:rPr>
                <w:rFonts w:ascii="宋体" w:hAnsi="宋体" w:cs="宋体"/>
                <w:kern w:val="0"/>
                <w:sz w:val="18"/>
                <w:szCs w:val="18"/>
              </w:rPr>
            </w:pPr>
            <w:r>
              <w:rPr>
                <w:rFonts w:hint="eastAsia" w:ascii="宋体" w:hAnsi="宋体" w:cs="宋体"/>
                <w:kern w:val="0"/>
                <w:sz w:val="18"/>
                <w:szCs w:val="18"/>
              </w:rPr>
              <w:t>2：通过该项目的实施能有效保障城市公共基础设施的正常运行，切实改善居民生活环境，同时对进一步完善城市规划</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城市运维电费成本</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≤150万元/年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城市公共设施运维成本</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≤45万元/年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城区绿化水费成本</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≤10万元/年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城市主管网排水、疏通成本</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≤15万元/年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项目开始时间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2020年1月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项目结束时间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2020年12月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项目支付及时率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城市公共设施耗电量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≥500千瓦</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城市公共设施运维次数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城市绿化灌溉面积</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≥10万平方米</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城市主管网维修次数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城市公共设施电费支付及时率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城市公共设施运维及时率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城市绿化灌溉水费支付及时率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城市主管网维修及时率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城市面貌改善促进旅游经济发展</w:t>
            </w:r>
          </w:p>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有效</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持续改善城市落后面貌</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有效</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提高人民环境舒适度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有所提高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改善城市自然环境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有效改善</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≥95%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sectPr>
          <w:pgSz w:w="16838" w:h="11906" w:orient="landscape"/>
          <w:pgMar w:top="1800" w:right="1440" w:bottom="1800" w:left="144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民丰县建设局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2020年民丰县城市环境综合服务一体化服务</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420万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420万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目标1：该项目主要加大环境治理力度，清扫环境卫生至少40万平方米，养护园林绿化面积至少20万平方米。</w:t>
            </w:r>
          </w:p>
          <w:p>
            <w:pPr>
              <w:widowControl/>
              <w:jc w:val="left"/>
              <w:rPr>
                <w:rFonts w:ascii="宋体" w:hAnsi="宋体" w:cs="宋体"/>
                <w:kern w:val="0"/>
                <w:sz w:val="18"/>
                <w:szCs w:val="18"/>
              </w:rPr>
            </w:pPr>
            <w:r>
              <w:rPr>
                <w:rFonts w:hint="eastAsia" w:ascii="宋体" w:hAnsi="宋体" w:cs="宋体"/>
                <w:kern w:val="0"/>
                <w:sz w:val="18"/>
                <w:szCs w:val="18"/>
              </w:rPr>
              <w:t>目标2：通过该项目的实施，推进民丰县城市环境综合服务一体化，有效改善民丰县城市的人居环境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环境卫生清扫单位成本</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≤7元/平方米</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园林绿化养护单位成本</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≤5元/平方米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项目开始时间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2020年1月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项目完成时间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2020年12月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环境卫生清扫及时率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园林绿化养护及时率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环境卫生清扫面积</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≥40万平方米</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园林绿化养护面积</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≥20万平方米</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环境卫生清扫验收合格率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园林绿化养护验收合格率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城市面貌改善促进旅游经济发展</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有效</w:t>
            </w:r>
          </w:p>
        </w:tc>
      </w:tr>
      <w:tr>
        <w:tblPrEx>
          <w:tblCellMar>
            <w:top w:w="0" w:type="dxa"/>
            <w:left w:w="108" w:type="dxa"/>
            <w:bottom w:w="0" w:type="dxa"/>
            <w:right w:w="108" w:type="dxa"/>
          </w:tblCellMar>
        </w:tblPrEx>
        <w:trPr>
          <w:trHeight w:val="283"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持续改善城市落后面貌</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有效</w:t>
            </w:r>
          </w:p>
        </w:tc>
      </w:tr>
      <w:tr>
        <w:tblPrEx>
          <w:tblCellMar>
            <w:top w:w="0" w:type="dxa"/>
            <w:left w:w="108" w:type="dxa"/>
            <w:bottom w:w="0" w:type="dxa"/>
            <w:right w:w="108" w:type="dxa"/>
          </w:tblCellMar>
        </w:tblPrEx>
        <w:trPr>
          <w:trHeight w:val="283"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提高人居环境舒适度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有效提高</w:t>
            </w:r>
          </w:p>
        </w:tc>
      </w:tr>
      <w:tr>
        <w:tblPrEx>
          <w:tblCellMar>
            <w:top w:w="0" w:type="dxa"/>
            <w:left w:w="108" w:type="dxa"/>
            <w:bottom w:w="0" w:type="dxa"/>
            <w:right w:w="108" w:type="dxa"/>
          </w:tblCellMar>
        </w:tblPrEx>
        <w:trPr>
          <w:trHeight w:val="283"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增加城市绿化覆盖率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改善城市空气质量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有所改善</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居民满意度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≥95%　</w:t>
            </w:r>
          </w:p>
        </w:tc>
      </w:tr>
    </w:tbl>
    <w:p>
      <w:pPr>
        <w:sectPr>
          <w:pgSz w:w="16838" w:h="11906" w:orient="landscape"/>
          <w:pgMar w:top="1800" w:right="1440" w:bottom="1800" w:left="144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民丰县建设局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民丰县城市市容环境改造项目</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68.48万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68.48万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目标1：民丰县2013年市容环境整治示范项目”偿还债务68.48万元；</w:t>
            </w:r>
          </w:p>
          <w:p>
            <w:pPr>
              <w:widowControl/>
              <w:jc w:val="left"/>
              <w:rPr>
                <w:rFonts w:ascii="宋体" w:hAnsi="宋体" w:cs="宋体"/>
                <w:kern w:val="0"/>
                <w:sz w:val="18"/>
                <w:szCs w:val="18"/>
              </w:rPr>
            </w:pPr>
            <w:r>
              <w:rPr>
                <w:rFonts w:hint="eastAsia" w:ascii="宋体" w:hAnsi="宋体" w:cs="宋体"/>
                <w:kern w:val="0"/>
                <w:sz w:val="18"/>
                <w:szCs w:val="18"/>
              </w:rPr>
              <w:t>目标2：民丰县2013年市容环境整治示范项目”可使我县城市品位得到提升，改善市容市貌和人民生活环境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偿还债务资金金额</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68.48万元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ascii="Arial" w:hAnsi="Arial" w:cs="Arial"/>
                <w:color w:val="000000"/>
                <w:kern w:val="0"/>
                <w:sz w:val="20"/>
                <w:szCs w:val="20"/>
              </w:rPr>
              <w:t>偿还及时率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ascii="Arial" w:hAnsi="Arial" w:cs="Arial"/>
                <w:color w:val="000000"/>
                <w:kern w:val="0"/>
                <w:sz w:val="20"/>
                <w:szCs w:val="20"/>
              </w:rPr>
              <w:t>偿还债务时间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2020年4月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偿还项目数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1个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偿还完成率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人居环境持续改善</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有效</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市容环境改善</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明显</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推动生态环境发展</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≥85%</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债权人满意度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≥90%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hint="eastAsia"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部门支出预算的组成部分，是民丰县住房和城乡建设局为完成其特定的行政任务或事业发展目标，在基本支出预算之外编制的年度项目支出计划。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指民丰县住房和城乡建设局用一般公共预算财政拨款安排的公务用车运行费。公务用车运行费指单位公务用车燃料费、维修费、过路过桥费、保险费等支出。</w:t>
      </w:r>
    </w:p>
    <w:p>
      <w:pPr>
        <w:spacing w:line="52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民丰县住房和城乡建设局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民丰县住房和城乡建设局</w:t>
      </w:r>
    </w:p>
    <w:p>
      <w:pPr>
        <w:widowControl/>
        <w:spacing w:line="520" w:lineRule="exact"/>
        <w:jc w:val="left"/>
      </w:pPr>
      <w:r>
        <w:rPr>
          <w:rFonts w:hint="eastAsia" w:ascii="仿宋_GB2312" w:hAnsi="宋体" w:eastAsia="仿宋_GB2312" w:cs="宋体"/>
          <w:kern w:val="0"/>
          <w:sz w:val="32"/>
          <w:szCs w:val="32"/>
        </w:rPr>
        <w:t xml:space="preserve">                           2020 </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5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15 </w:t>
      </w:r>
      <w:r>
        <w:rPr>
          <w:rFonts w:ascii="仿宋_GB2312" w:hAnsi="宋体" w:eastAsia="仿宋_GB2312" w:cs="宋体"/>
          <w:kern w:val="0"/>
          <w:sz w:val="32"/>
          <w:szCs w:val="32"/>
        </w:rPr>
        <w:t>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4931"/>
    <w:rsid w:val="00076FC8"/>
    <w:rsid w:val="00080ABA"/>
    <w:rsid w:val="000933CC"/>
    <w:rsid w:val="000B1B6C"/>
    <w:rsid w:val="000E1E24"/>
    <w:rsid w:val="001060FA"/>
    <w:rsid w:val="0013095D"/>
    <w:rsid w:val="001334C6"/>
    <w:rsid w:val="0013535E"/>
    <w:rsid w:val="0014397B"/>
    <w:rsid w:val="0017581E"/>
    <w:rsid w:val="001C139A"/>
    <w:rsid w:val="00206D57"/>
    <w:rsid w:val="002329BE"/>
    <w:rsid w:val="00235913"/>
    <w:rsid w:val="002B5144"/>
    <w:rsid w:val="00305011"/>
    <w:rsid w:val="00325B17"/>
    <w:rsid w:val="00365A4E"/>
    <w:rsid w:val="004463F0"/>
    <w:rsid w:val="0046672D"/>
    <w:rsid w:val="00474ED6"/>
    <w:rsid w:val="00494019"/>
    <w:rsid w:val="004E6338"/>
    <w:rsid w:val="004F2798"/>
    <w:rsid w:val="00534815"/>
    <w:rsid w:val="006E3837"/>
    <w:rsid w:val="00791E58"/>
    <w:rsid w:val="008D3AAA"/>
    <w:rsid w:val="00911F6F"/>
    <w:rsid w:val="00982DEF"/>
    <w:rsid w:val="00A64FAE"/>
    <w:rsid w:val="00B86C6A"/>
    <w:rsid w:val="00B92719"/>
    <w:rsid w:val="00BB1804"/>
    <w:rsid w:val="00BD5B05"/>
    <w:rsid w:val="00C36579"/>
    <w:rsid w:val="00C57904"/>
    <w:rsid w:val="00C82822"/>
    <w:rsid w:val="00CD3DA3"/>
    <w:rsid w:val="00D03546"/>
    <w:rsid w:val="00D16510"/>
    <w:rsid w:val="00D666FA"/>
    <w:rsid w:val="00E07E8C"/>
    <w:rsid w:val="00E27699"/>
    <w:rsid w:val="00E73D32"/>
    <w:rsid w:val="00ED4C40"/>
    <w:rsid w:val="00EE53C5"/>
    <w:rsid w:val="00F32307"/>
    <w:rsid w:val="00F35E29"/>
    <w:rsid w:val="00F91D73"/>
    <w:rsid w:val="00FC6ABD"/>
    <w:rsid w:val="00FC6B31"/>
    <w:rsid w:val="044B77AC"/>
    <w:rsid w:val="054C58F8"/>
    <w:rsid w:val="0788449E"/>
    <w:rsid w:val="07926BB2"/>
    <w:rsid w:val="07B43D08"/>
    <w:rsid w:val="083F3F26"/>
    <w:rsid w:val="0858257A"/>
    <w:rsid w:val="0BB03B73"/>
    <w:rsid w:val="0C1F550E"/>
    <w:rsid w:val="0DF67142"/>
    <w:rsid w:val="0FD437C7"/>
    <w:rsid w:val="1390306C"/>
    <w:rsid w:val="16CC35E5"/>
    <w:rsid w:val="1C0A46DF"/>
    <w:rsid w:val="1EA4612C"/>
    <w:rsid w:val="1F4A38C2"/>
    <w:rsid w:val="218051FE"/>
    <w:rsid w:val="238F4BB6"/>
    <w:rsid w:val="26F43933"/>
    <w:rsid w:val="2A5E5EBF"/>
    <w:rsid w:val="2A6F25F2"/>
    <w:rsid w:val="2CCB2716"/>
    <w:rsid w:val="2D7C37BE"/>
    <w:rsid w:val="2F9D3E96"/>
    <w:rsid w:val="2FE532A2"/>
    <w:rsid w:val="33410513"/>
    <w:rsid w:val="34B037C5"/>
    <w:rsid w:val="39E07DC5"/>
    <w:rsid w:val="3BBE04E8"/>
    <w:rsid w:val="3C0567CA"/>
    <w:rsid w:val="40821880"/>
    <w:rsid w:val="48F56EF9"/>
    <w:rsid w:val="4C0673AC"/>
    <w:rsid w:val="4CEB56B2"/>
    <w:rsid w:val="4E7A2D01"/>
    <w:rsid w:val="4E7F7AEF"/>
    <w:rsid w:val="521574B0"/>
    <w:rsid w:val="55C83F55"/>
    <w:rsid w:val="55F13057"/>
    <w:rsid w:val="564F70A7"/>
    <w:rsid w:val="56920F39"/>
    <w:rsid w:val="58175DAE"/>
    <w:rsid w:val="587275B9"/>
    <w:rsid w:val="59276C9C"/>
    <w:rsid w:val="62AC0587"/>
    <w:rsid w:val="63507167"/>
    <w:rsid w:val="66EA02EB"/>
    <w:rsid w:val="6B793615"/>
    <w:rsid w:val="6CC91855"/>
    <w:rsid w:val="6F466E27"/>
    <w:rsid w:val="70581ABF"/>
    <w:rsid w:val="721C56EF"/>
    <w:rsid w:val="7BFB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2072</Words>
  <Characters>11815</Characters>
  <Lines>98</Lines>
  <Paragraphs>27</Paragraphs>
  <TotalTime>0</TotalTime>
  <ScaleCrop>false</ScaleCrop>
  <LinksUpToDate>false</LinksUpToDate>
  <CharactersWithSpaces>13860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2020-06-24T11:42:34Z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