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/>
          <w:kern w:val="0"/>
          <w:sz w:val="56"/>
          <w:szCs w:val="56"/>
          <w:lang w:val="en-US" w:eastAsia="zh-CN"/>
        </w:rPr>
        <w:t>民丰县文化体育广播电视和旅游局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56"/>
          <w:szCs w:val="56"/>
          <w:lang w:val="en-US" w:eastAsia="zh-CN"/>
        </w:rPr>
      </w:pPr>
      <w:r>
        <w:rPr>
          <w:rFonts w:hint="eastAsia" w:ascii="方正小标宋_GBK" w:hAnsi="宋体" w:eastAsia="方正小标宋_GBK"/>
          <w:kern w:val="0"/>
          <w:sz w:val="56"/>
          <w:szCs w:val="56"/>
          <w:lang w:val="en-US" w:eastAsia="zh-CN"/>
        </w:rPr>
        <w:t>2020年部门预算公开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民丰县文化体育广播电视和旅游局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民丰县文化体育广播电视和旅游局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民丰县文化体育广播电视和旅游局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民丰县文化体育广播电视和旅游局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eastAsia="zh-CN"/>
        </w:rPr>
        <w:t>民丰县文化体育广播电视和旅游局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民丰县文化体育广播电视和旅游局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民丰县文化体育广播电视和旅游局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民丰县文化体育广播电视和旅游局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left="1278" w:leftChars="304" w:hanging="640" w:hanging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民丰县文化体育广播电视和旅游局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民丰县文化体育广播电视和旅游局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民丰县文化体育广播电视和旅游局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新宋体" w:eastAsia="仿宋_GB2312"/>
          <w:b w:val="0"/>
          <w:bCs w:val="0"/>
          <w:sz w:val="32"/>
          <w:szCs w:val="32"/>
          <w:lang w:val="en-US" w:eastAsia="zh-CN"/>
        </w:rPr>
        <w:t>略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民丰县文化体育广播电视和旅游局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1566.48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1566.48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1366.37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200.11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1566.48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1566.48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1566.48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both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民丰县文化体育广播电视和旅游局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单位：万元</w:t>
      </w:r>
    </w:p>
    <w:tbl>
      <w:tblPr>
        <w:tblStyle w:val="7"/>
        <w:tblW w:w="965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409"/>
        <w:gridCol w:w="436"/>
        <w:gridCol w:w="1950"/>
        <w:gridCol w:w="923"/>
        <w:gridCol w:w="904"/>
        <w:gridCol w:w="655"/>
        <w:gridCol w:w="481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文化旅游体育与传媒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1366.37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1366.37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1366.37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1366.37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行政运行（文化）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1366.37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1366.37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200.11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200.11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200.11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200.11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200.11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200.11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1566.48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1566.48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民丰县文化体育广播电视和旅游局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422"/>
        <w:gridCol w:w="505"/>
        <w:gridCol w:w="2372"/>
        <w:gridCol w:w="1855"/>
        <w:gridCol w:w="1856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3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文化旅游体育与传媒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1366.37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1366.37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1366.37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1366.37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行政运行（文化）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1366.37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1366.37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200.11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200.11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200.11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200.11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200.11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200.11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1566.48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1566.48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民丰县文化体育广播电视和旅游局</w:t>
      </w:r>
      <w:r>
        <w:rPr>
          <w:rFonts w:hint="eastAsia" w:ascii="仿宋_GB2312" w:hAnsi="宋体" w:eastAsia="仿宋_GB2312"/>
          <w:kern w:val="0"/>
          <w:sz w:val="24"/>
        </w:rPr>
        <w:t xml:space="preserve"> 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.48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.48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1366.37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1366.37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200.11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.48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1566.48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1566.48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168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民丰县文化体育广播电视和旅游局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文化旅游体育与传媒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1366.37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1366.37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1366.37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1366.37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行政运行（文化）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1366.37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1366.37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1566.48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1566.48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1701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民丰县文化体育广播电视和旅游局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1401.49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1401.49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319.82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319.82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690.65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690.65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25.31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286.38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79.33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79.33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95.93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95.93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水电费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交通费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13.66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69.06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69.06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退休费统发工资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33.24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33.24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1566.48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1470.55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95.93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56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702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民丰县文化体育广播电视和旅游局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本单位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无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项目支出情况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民丰县文化体育广播电视和旅游局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民丰县文化体育广播电视和旅游局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备注：本单位无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出。</w:t>
      </w:r>
    </w:p>
    <w:p>
      <w:pPr>
        <w:widowControl w:val="0"/>
        <w:spacing w:before="0" w:beforeLines="0" w:line="560" w:lineRule="exact"/>
        <w:jc w:val="center"/>
        <w:outlineLvl w:val="9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widowControl w:val="0"/>
        <w:spacing w:before="0" w:beforeLines="0" w:line="560" w:lineRule="exact"/>
        <w:jc w:val="center"/>
        <w:outlineLvl w:val="9"/>
        <w:rPr>
          <w:rFonts w:ascii="黑体" w:hAnsi="黑体" w:eastAsia="黑体"/>
          <w:kern w:val="0"/>
          <w:sz w:val="32"/>
          <w:szCs w:val="32"/>
        </w:rPr>
      </w:pP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民丰县文化体育广播电视和旅游局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民丰县文化体育广播电视和旅游局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1566.48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收入预算包括：一般公共预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支出预算包括：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文化旅游体育与传媒支出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、社会保障和就业支出。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民丰县文化体育广播电视和旅游局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民丰县文化体育广播电视和旅游局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1566.48万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1566.48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人事变动；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民丰县文化体育广播电视和旅游局</w:t>
      </w:r>
      <w:r>
        <w:rPr>
          <w:rFonts w:hint="eastAsia" w:ascii="黑体" w:hAnsi="宋体" w:eastAsia="黑体" w:cs="宋体"/>
          <w:kern w:val="0"/>
          <w:sz w:val="32"/>
          <w:szCs w:val="32"/>
        </w:rPr>
        <w:t>单位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民丰县文化体育广播电视和旅游局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1566.48万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宋体" w:eastAsia="仿宋_GB2312" w:cs="宋体"/>
          <w:b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1566.48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人事变动；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项目支出0万元，占0 %，比上年增加（减少）0万元，主要原因是：没有安排项目支出。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民丰县文化体育广播电视和旅游局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1566.48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b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支出预算包括：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文化旅游体育与传媒支出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1366.37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工资福利支出、商品服务支出、对个人和家族的补助支出。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200.11万元，主要用于机关事业单位养老保险支出。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民丰县文化体育广播电视和旅游局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民丰县文化体育广播电视和旅游局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1566.48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204.66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15.03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工资上调，人员经费，社保住房公积金，养老保险等增加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文化旅游体育与传媒支出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1366.37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占87.23%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80" w:lineRule="exact"/>
        <w:ind w:firstLine="640"/>
        <w:rPr>
          <w:rFonts w:ascii="仿宋_GB2312" w:eastAsia="仿宋_GB2312"/>
          <w:b/>
          <w:sz w:val="32"/>
          <w:szCs w:val="32"/>
          <w:highlight w:val="yellow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200.11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占12.77%。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文化旅游体育与传媒支出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207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文化和旅游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01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运行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01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1366.37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166.55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13.88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工资上调，人员经费，社保住房公积金等增加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strike w:val="0"/>
          <w:dstrike w:val="0"/>
          <w:kern w:val="0"/>
          <w:sz w:val="32"/>
          <w:szCs w:val="32"/>
          <w:u w:val="none"/>
        </w:rPr>
        <w:t>2.</w:t>
      </w:r>
      <w:r>
        <w:rPr>
          <w:rFonts w:hint="eastAsia" w:ascii="仿宋_GB2312" w:hAnsi="宋体" w:eastAsia="仿宋_GB2312" w:cs="宋体"/>
          <w:strike w:val="0"/>
          <w:dstrike w:val="0"/>
          <w:kern w:val="0"/>
          <w:sz w:val="32"/>
          <w:szCs w:val="32"/>
          <w:u w:val="none"/>
        </w:rPr>
        <w:t>社会保障和就业支出</w:t>
      </w:r>
      <w:r>
        <w:rPr>
          <w:rFonts w:ascii="仿宋_GB2312" w:hAnsi="宋体" w:eastAsia="仿宋_GB2312" w:cs="宋体"/>
          <w:strike w:val="0"/>
          <w:dstrike w:val="0"/>
          <w:kern w:val="0"/>
          <w:sz w:val="32"/>
          <w:szCs w:val="32"/>
          <w:u w:val="none"/>
        </w:rPr>
        <w:t>（</w:t>
      </w:r>
      <w:r>
        <w:rPr>
          <w:rFonts w:hint="eastAsia" w:ascii="仿宋_GB2312" w:hAnsi="宋体" w:eastAsia="仿宋_GB2312" w:cs="宋体"/>
          <w:strike w:val="0"/>
          <w:dstrike w:val="0"/>
          <w:kern w:val="0"/>
          <w:sz w:val="32"/>
          <w:szCs w:val="32"/>
          <w:u w:val="none"/>
          <w:lang w:val="en-US" w:eastAsia="zh-CN"/>
        </w:rPr>
        <w:t>208</w:t>
      </w:r>
      <w:r>
        <w:rPr>
          <w:rFonts w:ascii="仿宋_GB2312" w:hAnsi="宋体" w:eastAsia="仿宋_GB2312" w:cs="宋体"/>
          <w:strike w:val="0"/>
          <w:dstrike w:val="0"/>
          <w:kern w:val="0"/>
          <w:sz w:val="32"/>
          <w:szCs w:val="32"/>
          <w:u w:val="none"/>
        </w:rPr>
        <w:t>）</w:t>
      </w:r>
      <w:r>
        <w:rPr>
          <w:rFonts w:hint="eastAsia" w:ascii="仿宋_GB2312" w:hAnsi="宋体" w:eastAsia="仿宋_GB2312" w:cs="宋体"/>
          <w:strike w:val="0"/>
          <w:dstrike w:val="0"/>
          <w:kern w:val="0"/>
          <w:sz w:val="32"/>
          <w:szCs w:val="32"/>
          <w:u w:val="none"/>
        </w:rPr>
        <w:t xml:space="preserve"> 行政事业单位离退休</w:t>
      </w:r>
      <w:r>
        <w:rPr>
          <w:rFonts w:ascii="仿宋_GB2312" w:hAnsi="宋体" w:eastAsia="仿宋_GB2312" w:cs="宋体"/>
          <w:strike w:val="0"/>
          <w:dstrike w:val="0"/>
          <w:kern w:val="0"/>
          <w:sz w:val="32"/>
          <w:szCs w:val="32"/>
          <w:u w:val="none"/>
        </w:rPr>
        <w:t>（</w:t>
      </w:r>
      <w:r>
        <w:rPr>
          <w:rFonts w:hint="eastAsia" w:ascii="仿宋_GB2312" w:hAnsi="宋体" w:eastAsia="仿宋_GB2312" w:cs="宋体"/>
          <w:strike w:val="0"/>
          <w:dstrike w:val="0"/>
          <w:kern w:val="0"/>
          <w:sz w:val="32"/>
          <w:szCs w:val="32"/>
          <w:u w:val="none"/>
          <w:lang w:val="en-US" w:eastAsia="zh-CN"/>
        </w:rPr>
        <w:t>05</w:t>
      </w:r>
      <w:r>
        <w:rPr>
          <w:rFonts w:ascii="仿宋_GB2312" w:hAnsi="宋体" w:eastAsia="仿宋_GB2312" w:cs="宋体"/>
          <w:strike w:val="0"/>
          <w:dstrike w:val="0"/>
          <w:kern w:val="0"/>
          <w:sz w:val="32"/>
          <w:szCs w:val="32"/>
          <w:u w:val="none"/>
        </w:rPr>
        <w:t>）</w:t>
      </w:r>
      <w:r>
        <w:rPr>
          <w:rFonts w:hint="eastAsia" w:ascii="仿宋_GB2312" w:hAnsi="宋体" w:eastAsia="仿宋_GB2312" w:cs="宋体"/>
          <w:strike w:val="0"/>
          <w:dstrike w:val="0"/>
          <w:kern w:val="0"/>
          <w:sz w:val="32"/>
          <w:szCs w:val="32"/>
          <w:u w:val="none"/>
        </w:rPr>
        <w:t>机关事业单位基本养老保险缴费支出</w:t>
      </w:r>
      <w:r>
        <w:rPr>
          <w:rFonts w:ascii="仿宋_GB2312" w:hAnsi="宋体" w:eastAsia="仿宋_GB2312" w:cs="宋体"/>
          <w:strike w:val="0"/>
          <w:dstrike w:val="0"/>
          <w:kern w:val="0"/>
          <w:sz w:val="32"/>
          <w:szCs w:val="32"/>
          <w:u w:val="none"/>
        </w:rPr>
        <w:t>（</w:t>
      </w:r>
      <w:r>
        <w:rPr>
          <w:rFonts w:hint="eastAsia" w:ascii="仿宋_GB2312" w:hAnsi="宋体" w:eastAsia="仿宋_GB2312" w:cs="宋体"/>
          <w:strike w:val="0"/>
          <w:dstrike w:val="0"/>
          <w:kern w:val="0"/>
          <w:sz w:val="32"/>
          <w:szCs w:val="32"/>
          <w:u w:val="none"/>
          <w:lang w:val="en-US" w:eastAsia="zh-CN"/>
        </w:rPr>
        <w:t>05</w:t>
      </w:r>
      <w:r>
        <w:rPr>
          <w:rFonts w:ascii="仿宋_GB2312" w:hAnsi="宋体" w:eastAsia="仿宋_GB2312" w:cs="宋体"/>
          <w:strike w:val="0"/>
          <w:dstrike w:val="0"/>
          <w:kern w:val="0"/>
          <w:sz w:val="32"/>
          <w:szCs w:val="32"/>
          <w:u w:val="none"/>
        </w:rPr>
        <w:t>）:</w:t>
      </w:r>
      <w:r>
        <w:rPr>
          <w:rFonts w:hint="eastAsia" w:ascii="仿宋_GB2312" w:hAnsi="宋体" w:eastAsia="仿宋_GB2312" w:cs="宋体"/>
          <w:strike w:val="0"/>
          <w:dstrike w:val="0"/>
          <w:kern w:val="0"/>
          <w:sz w:val="32"/>
          <w:szCs w:val="32"/>
          <w:u w:val="none"/>
          <w:lang w:val="en-US" w:eastAsia="zh-CN"/>
        </w:rPr>
        <w:t>2020</w:t>
      </w:r>
      <w:r>
        <w:rPr>
          <w:rFonts w:ascii="仿宋_GB2312" w:hAnsi="宋体" w:eastAsia="仿宋_GB2312" w:cs="宋体"/>
          <w:strike w:val="0"/>
          <w:dstrike w:val="0"/>
          <w:kern w:val="0"/>
          <w:sz w:val="32"/>
          <w:szCs w:val="32"/>
          <w:u w:val="none"/>
        </w:rPr>
        <w:t>年预算数为</w:t>
      </w:r>
      <w:r>
        <w:rPr>
          <w:rFonts w:hint="eastAsia" w:ascii="仿宋_GB2312" w:eastAsia="仿宋_GB2312"/>
          <w:strike w:val="0"/>
          <w:dstrike w:val="0"/>
          <w:sz w:val="32"/>
          <w:szCs w:val="32"/>
          <w:u w:val="none"/>
          <w:lang w:val="en-US" w:eastAsia="zh-CN"/>
        </w:rPr>
        <w:t>200.11</w:t>
      </w:r>
      <w:r>
        <w:rPr>
          <w:rFonts w:ascii="仿宋_GB2312" w:hAnsi="宋体" w:eastAsia="仿宋_GB2312" w:cs="宋体"/>
          <w:strike w:val="0"/>
          <w:dstrike w:val="0"/>
          <w:kern w:val="0"/>
          <w:sz w:val="32"/>
          <w:szCs w:val="32"/>
          <w:u w:val="none"/>
        </w:rPr>
        <w:t>万元</w:t>
      </w:r>
      <w:r>
        <w:rPr>
          <w:rFonts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38.11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工资上调，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养老保险基数也增加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民丰县文化体育广播电视和旅游局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民丰县文化体育广播电视和旅游局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年一般公共预算基本支出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1566.48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1470.55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万元，主要包括：基本工资、津贴补贴、奖金、社会保障缴费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、住房公积金、其他工资福利支出、</w:t>
      </w:r>
      <w:r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退休费统发工资，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其他对个人和家庭的补助支出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95.93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万元，主要包括：办公费、水电费、邮电费、取暖费、交通费、差旅费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民丰县文化体育广播电视和旅游局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本单位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2020年未安排预算项目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民丰县文化体育广播电视和旅游局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民丰县文化体育广播电视和旅游局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数调整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；公务用车购置费为0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，未安排预算。公务用车运行费减少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万元，主要原因是公务用车运行费预算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数调整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；公务接待费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增加0万元，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主要原因是未安排预算。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民丰县文化体育广播电视和旅游局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民丰县文化体育广播电视和旅游局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民丰县文化体育广播电视和旅游局本级及下属0家行政单位和0家事业单位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95.93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17.83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18.58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机关运行费增加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ind w:firstLine="643" w:firstLineChars="200"/>
        <w:jc w:val="both"/>
        <w:rPr>
          <w:rFonts w:hint="eastAsia" w:ascii="楷体_GB2312" w:hAnsi="宋体" w:eastAsia="楷体_GB2312" w:cs="宋体"/>
          <w:b/>
          <w:kern w:val="0"/>
          <w:sz w:val="32"/>
          <w:szCs w:val="32"/>
          <w:highlight w:val="yellow"/>
          <w:lang w:eastAsia="zh-CN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民丰县文化体育广播电视和旅游局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及下属单位政府采购预算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民丰县文化体育广播电视和旅游局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 26881平方米，价值586.96万元。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8万元；其中：一般公务用车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87.76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万元；执法执勤用车 1 辆，价值11.2 万元；其他车辆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辆，价值11.198万元。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4.其他资产价值11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.047 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1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个，涉及预算金额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部门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 w:firstLineChars="196"/>
        <w:jc w:val="left"/>
        <w:textAlignment w:val="auto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17" w:beforeLines="50" w:line="500" w:lineRule="exact"/>
        <w:jc w:val="center"/>
        <w:textAlignment w:val="auto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、“三公”经费：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民丰县文化体育广播电视和旅游局</w:t>
      </w:r>
      <w:r>
        <w:rPr>
          <w:rFonts w:hint="eastAsia" w:ascii="仿宋_GB2312" w:eastAsia="仿宋_GB2312"/>
          <w:sz w:val="32"/>
          <w:szCs w:val="32"/>
        </w:rPr>
        <w:t>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民丰县文化体育广播电视和旅游局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5144"/>
    <w:rsid w:val="002B5144"/>
    <w:rsid w:val="00325B17"/>
    <w:rsid w:val="00FC6ABD"/>
    <w:rsid w:val="012100E1"/>
    <w:rsid w:val="026110C3"/>
    <w:rsid w:val="035D0A46"/>
    <w:rsid w:val="03C530BB"/>
    <w:rsid w:val="06591D6A"/>
    <w:rsid w:val="07864E3D"/>
    <w:rsid w:val="07926BB2"/>
    <w:rsid w:val="083F3F26"/>
    <w:rsid w:val="0C8D0744"/>
    <w:rsid w:val="0DB30861"/>
    <w:rsid w:val="0EFB7241"/>
    <w:rsid w:val="0F09330B"/>
    <w:rsid w:val="0FD2550F"/>
    <w:rsid w:val="1390306C"/>
    <w:rsid w:val="13D5626F"/>
    <w:rsid w:val="156A7D94"/>
    <w:rsid w:val="16CC35E5"/>
    <w:rsid w:val="1B3A3922"/>
    <w:rsid w:val="1BE060E1"/>
    <w:rsid w:val="1FE075DA"/>
    <w:rsid w:val="24D917F5"/>
    <w:rsid w:val="27F30702"/>
    <w:rsid w:val="29044A5A"/>
    <w:rsid w:val="2A6F25F2"/>
    <w:rsid w:val="2CCB2716"/>
    <w:rsid w:val="2F9D3E96"/>
    <w:rsid w:val="2FE532A2"/>
    <w:rsid w:val="34B037C5"/>
    <w:rsid w:val="358B66B2"/>
    <w:rsid w:val="35DF79C4"/>
    <w:rsid w:val="3917643D"/>
    <w:rsid w:val="40821880"/>
    <w:rsid w:val="4C0673AC"/>
    <w:rsid w:val="53C62B26"/>
    <w:rsid w:val="55F231A6"/>
    <w:rsid w:val="56920F39"/>
    <w:rsid w:val="58175DAE"/>
    <w:rsid w:val="5A624674"/>
    <w:rsid w:val="61592CC1"/>
    <w:rsid w:val="62F33031"/>
    <w:rsid w:val="66D92618"/>
    <w:rsid w:val="697352AC"/>
    <w:rsid w:val="69A50AC0"/>
    <w:rsid w:val="6B793615"/>
    <w:rsid w:val="6CC91855"/>
    <w:rsid w:val="72C23246"/>
    <w:rsid w:val="76387219"/>
    <w:rsid w:val="7BFB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pPr>
      <w:spacing w:line="240" w:lineRule="auto"/>
      <w:jc w:val="left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Char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1575</Words>
  <Characters>8978</Characters>
  <Lines>74</Lines>
  <Paragraphs>21</Paragraphs>
  <TotalTime>1</TotalTime>
  <ScaleCrop>false</ScaleCrop>
  <LinksUpToDate>false</LinksUpToDate>
  <CharactersWithSpaces>10532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^_^玫瑰人生^_^</cp:lastModifiedBy>
  <cp:lastPrinted>2020-05-17T03:22:00Z</cp:lastPrinted>
  <dcterms:modified xsi:type="dcterms:W3CDTF">2020-06-24T11:10:24Z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