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b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b/>
          <w:bCs/>
          <w:kern w:val="0"/>
          <w:sz w:val="44"/>
          <w:szCs w:val="44"/>
          <w:lang w:val="en-US" w:eastAsia="zh-CN"/>
        </w:rPr>
        <w:t>民丰县卫生健康委员会2020</w:t>
      </w:r>
      <w:r>
        <w:rPr>
          <w:rFonts w:hint="eastAsia" w:ascii="方正小标宋_GBK" w:hAnsi="宋体" w:eastAsia="方正小标宋_GBK"/>
          <w:b/>
          <w:bCs/>
          <w:kern w:val="0"/>
          <w:sz w:val="44"/>
          <w:szCs w:val="44"/>
        </w:rPr>
        <w:t>年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b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b/>
          <w:bCs/>
          <w:kern w:val="0"/>
          <w:sz w:val="44"/>
          <w:szCs w:val="44"/>
        </w:rPr>
        <w:t>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民丰县卫生健康委员会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ind w:left="640" w:leftChars="0" w:hanging="640" w:hanging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民丰县卫生健康委员会2020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</w:rPr>
        <w:t>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民丰县卫生健康委员会2020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民丰县卫生健康委员会2020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left="640" w:leftChars="0" w:hanging="640" w:hanging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民丰县卫生健康委员会2020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left="640" w:leftChars="0" w:hanging="640" w:hanging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民丰县卫生健康委员会2020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left="640" w:leftChars="0" w:hanging="640" w:hanging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民丰县卫生健康委员会2020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民丰县卫生健康委员会2020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left="656" w:leftChars="0" w:hanging="656" w:hangingChars="205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民丰县卫生健康委员会2020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left="640" w:leftChars="0" w:hanging="640" w:hanging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民丰县卫生健康委员会2020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民丰县卫生健康委员会2020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spacing w:line="500" w:lineRule="exact"/>
        <w:ind w:firstLine="646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新宋体" w:eastAsia="仿宋_GB2312"/>
          <w:b w:val="0"/>
          <w:bCs w:val="0"/>
          <w:sz w:val="32"/>
          <w:szCs w:val="32"/>
          <w:lang w:val="en-US" w:eastAsia="zh-CN"/>
        </w:rPr>
        <w:t>略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beforeLines="50"/>
        <w:ind w:firstLine="960" w:firstLineChars="300"/>
        <w:jc w:val="left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仿宋_GB2312" w:hAnsi="新宋体" w:eastAsia="仿宋_GB2312"/>
          <w:b w:val="0"/>
          <w:bCs w:val="0"/>
          <w:sz w:val="32"/>
          <w:szCs w:val="32"/>
          <w:lang w:val="en-US" w:eastAsia="zh-CN"/>
        </w:rPr>
        <w:t>略</w:t>
      </w: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Lines="50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kern w:val="0"/>
          <w:sz w:val="24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民丰县卫生健康委员会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单位：万元</w:t>
      </w:r>
    </w:p>
    <w:tbl>
      <w:tblPr>
        <w:tblStyle w:val="7"/>
        <w:tblW w:w="86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1341.04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1341.04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1163.97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1341.04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1341.04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1341.04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kern w:val="0"/>
          <w:sz w:val="24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民丰县卫生健康委员会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单位：万元</w:t>
      </w:r>
    </w:p>
    <w:tbl>
      <w:tblPr>
        <w:tblStyle w:val="7"/>
        <w:tblW w:w="96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493"/>
        <w:gridCol w:w="407"/>
        <w:gridCol w:w="1872"/>
        <w:gridCol w:w="900"/>
        <w:gridCol w:w="975"/>
        <w:gridCol w:w="510"/>
        <w:gridCol w:w="675"/>
        <w:gridCol w:w="586"/>
        <w:gridCol w:w="680"/>
        <w:gridCol w:w="680"/>
        <w:gridCol w:w="680"/>
        <w:gridCol w:w="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208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社会保障和就业支出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177.07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177.07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行政事业单位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养老支出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177.07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177.07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208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机关事业单位基本养老保险缴费支出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177.07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177.07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210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 xml:space="preserve"> 卫生健康支出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1163.97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1163.97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01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 xml:space="preserve">  卫生健康管理事务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1058.11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1058.11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210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01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01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 xml:space="preserve">     行政运行（卫生健康管理事务）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1058.11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1058.11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07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 xml:space="preserve">   计划生育事务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105.86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105.86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210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07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16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 xml:space="preserve">     计划生育机构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210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07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99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 xml:space="preserve">      其他计划生育事务支出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0.86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0.86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1341.04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1341.04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kern w:val="0"/>
          <w:sz w:val="24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民丰县卫生健康委员会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单位：万元</w:t>
      </w:r>
    </w:p>
    <w:tbl>
      <w:tblPr>
        <w:tblStyle w:val="7"/>
        <w:tblW w:w="92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480"/>
        <w:gridCol w:w="435"/>
        <w:gridCol w:w="2387"/>
        <w:gridCol w:w="1855"/>
        <w:gridCol w:w="1874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208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社会保障和就业支出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177.07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177.07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208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行政事业单位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养老支出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177.07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177.07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208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机关事业单位基本养老保险缴费支出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177.07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177.07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210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 xml:space="preserve"> 卫生健康支出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1163.97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1058.11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105.86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210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01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 xml:space="preserve">  卫生健康管理事务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1058.11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1058.11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210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01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01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 xml:space="preserve">     行政运行（卫生健康管理事务）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1058.11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1058.11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210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07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 xml:space="preserve">   计划生育事务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105.86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105.86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210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07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16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 xml:space="preserve">    计划生育机构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210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07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99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 xml:space="preserve">    其他计划生育事务支出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0.86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0.86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1341.04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1235.18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105.86　</w:t>
            </w:r>
          </w:p>
        </w:tc>
      </w:tr>
    </w:tbl>
    <w:p>
      <w:pPr>
        <w:widowControl/>
        <w:spacing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民丰县卫生健康委员会</w:t>
      </w:r>
      <w:r>
        <w:rPr>
          <w:rFonts w:hint="eastAsia" w:ascii="仿宋_GB2312" w:hAnsi="宋体" w:eastAsia="仿宋_GB2312"/>
          <w:kern w:val="0"/>
          <w:sz w:val="24"/>
        </w:rPr>
        <w:t xml:space="preserve">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单位：万元</w:t>
      </w:r>
    </w:p>
    <w:tbl>
      <w:tblPr>
        <w:tblStyle w:val="7"/>
        <w:tblW w:w="92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95"/>
        <w:gridCol w:w="949"/>
        <w:gridCol w:w="1496"/>
        <w:gridCol w:w="13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1341.04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1341.04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177.07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177.07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1163.97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1163.97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1341.04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1341.04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1341.04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tbl>
      <w:tblPr>
        <w:tblStyle w:val="7"/>
        <w:tblW w:w="90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465"/>
        <w:gridCol w:w="495"/>
        <w:gridCol w:w="2523"/>
        <w:gridCol w:w="444"/>
        <w:gridCol w:w="1024"/>
        <w:gridCol w:w="216"/>
        <w:gridCol w:w="1626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民丰县卫生健康委员会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46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208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社会保障和就业支出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177.07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177.07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208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行政事业单位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养老支出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177.07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177.07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208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机关事业单位基本养老保险缴费支出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177.07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177.07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210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 xml:space="preserve"> 卫生健康支出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1163.97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1058.11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　105.86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210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 xml:space="preserve">  卫生健康管理事务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1058.11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1058.11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210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01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 xml:space="preserve">     行政运行（卫生健康管理事务）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1058.11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1058.11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210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 xml:space="preserve">   计划生育事务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105.86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105.86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210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16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 xml:space="preserve">     计划生育机构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210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99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 xml:space="preserve">     其他计划生育事务支出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0.86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0.86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1341.04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1235.18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105.86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0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77"/>
        <w:gridCol w:w="3127"/>
        <w:gridCol w:w="759"/>
        <w:gridCol w:w="706"/>
        <w:gridCol w:w="976"/>
        <w:gridCol w:w="725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民丰县卫生健康委员会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8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31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46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1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工资福利支出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1101.37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1101.37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01</w:t>
            </w:r>
          </w:p>
        </w:tc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基本工资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232.85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232.85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02</w:t>
            </w:r>
          </w:p>
        </w:tc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津贴补贴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513.50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03</w:t>
            </w:r>
          </w:p>
        </w:tc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奖金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19.40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19.40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08</w:t>
            </w:r>
          </w:p>
        </w:tc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机关事业单位基本养老保险缴费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177.08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177.08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职工基本医疗保险缴费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61.09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61.09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公务员医疗补助缴费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社会保障缴费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住房公积金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75.89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75.89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商品和服务支出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66.08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01</w:t>
            </w:r>
          </w:p>
        </w:tc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办公费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水费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06</w:t>
            </w:r>
          </w:p>
        </w:tc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电费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07</w:t>
            </w:r>
          </w:p>
        </w:tc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邮电费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08</w:t>
            </w:r>
          </w:p>
        </w:tc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取暖费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red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16.29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差旅费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 工会经费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 福利费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交通费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对个人和家庭的补助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67.73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67.73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02</w:t>
            </w:r>
          </w:p>
        </w:tc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退休费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30.67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30.67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生活补助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37.06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37.06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1235.18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1169.1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66.08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4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483"/>
        <w:gridCol w:w="435"/>
        <w:gridCol w:w="405"/>
        <w:gridCol w:w="855"/>
        <w:gridCol w:w="1335"/>
        <w:gridCol w:w="837"/>
        <w:gridCol w:w="453"/>
        <w:gridCol w:w="780"/>
        <w:gridCol w:w="675"/>
        <w:gridCol w:w="391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45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民丰县卫生健康委员会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3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453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39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4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0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210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卫生健康支出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105.86</w:t>
            </w:r>
          </w:p>
        </w:tc>
        <w:tc>
          <w:tcPr>
            <w:tcW w:w="4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105　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0.86　</w:t>
            </w:r>
          </w:p>
        </w:tc>
        <w:tc>
          <w:tcPr>
            <w:tcW w:w="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07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计划生育事务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105.86</w:t>
            </w:r>
          </w:p>
        </w:tc>
        <w:tc>
          <w:tcPr>
            <w:tcW w:w="4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105　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0.86</w:t>
            </w:r>
          </w:p>
        </w:tc>
        <w:tc>
          <w:tcPr>
            <w:tcW w:w="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1" w:type="dxa"/>
            <w:gridSpan w:val="2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计划生育机构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计划生育递增经费　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4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　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1" w:type="dxa"/>
            <w:gridSpan w:val="2"/>
            <w:vAlign w:val="center"/>
          </w:tcPr>
          <w:p>
            <w:pPr>
              <w:widowControl/>
              <w:jc w:val="both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both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计划生育机构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县配套农牧民计划生育免费手术技术服务经费　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　</w:t>
            </w:r>
          </w:p>
        </w:tc>
        <w:tc>
          <w:tcPr>
            <w:tcW w:w="4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　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both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其他计划生育事务支出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县配套计划生育奖励金　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0.86　</w:t>
            </w:r>
          </w:p>
        </w:tc>
        <w:tc>
          <w:tcPr>
            <w:tcW w:w="4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0.86　</w:t>
            </w:r>
          </w:p>
        </w:tc>
        <w:tc>
          <w:tcPr>
            <w:tcW w:w="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0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0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05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1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05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1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3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1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3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3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7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1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0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3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1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105.86</w:t>
            </w:r>
          </w:p>
        </w:tc>
        <w:tc>
          <w:tcPr>
            <w:tcW w:w="45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105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0.86</w:t>
            </w:r>
          </w:p>
        </w:tc>
        <w:tc>
          <w:tcPr>
            <w:tcW w:w="39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民丰县卫生健康委员会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单位：万元</w:t>
      </w:r>
    </w:p>
    <w:tbl>
      <w:tblPr>
        <w:tblStyle w:val="7"/>
        <w:tblW w:w="90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民丰县卫生健康委员会</w:t>
      </w:r>
      <w:r>
        <w:rPr>
          <w:rFonts w:hint="eastAsia" w:ascii="仿宋_GB2312" w:hAnsi="宋体" w:eastAsia="仿宋_GB2312"/>
          <w:kern w:val="0"/>
          <w:sz w:val="24"/>
        </w:rPr>
        <w:t xml:space="preserve">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            </w:t>
      </w:r>
      <w:r>
        <w:rPr>
          <w:rFonts w:hint="eastAsia" w:ascii="仿宋_GB2312" w:hAnsi="宋体" w:eastAsia="仿宋_GB2312"/>
          <w:kern w:val="0"/>
          <w:sz w:val="24"/>
        </w:rPr>
        <w:t xml:space="preserve"> 单位：万元</w:t>
      </w:r>
    </w:p>
    <w:tbl>
      <w:tblPr>
        <w:tblStyle w:val="7"/>
        <w:tblW w:w="90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本单位无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出。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69" w:right="1418" w:bottom="1928" w:left="1588" w:header="431" w:footer="57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民丰县卫生健康委员会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widowControl/>
        <w:spacing w:line="580" w:lineRule="exact"/>
        <w:ind w:firstLine="64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民丰县卫生健康委员会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1341.04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1341.04万元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177.07万元、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医疗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卫生健康支出1163.97万元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民丰县卫生健康委员会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民丰县卫生健康委员会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1341.04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/>
        <w:spacing w:line="580" w:lineRule="exact"/>
        <w:ind w:firstLine="64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1341.04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1700.84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部门预算包括本级预算及下属</w:t>
      </w:r>
      <w:r>
        <w:rPr>
          <w:rFonts w:ascii="仿宋_GB2312" w:hAnsi="宋体" w:eastAsia="仿宋_GB2312" w:cs="宋体"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二级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预算单位在内的汇总预算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，今年部门预算包括就本级预算。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政府性基金预算未安排。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民丰县卫生健康委员会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民丰县卫生健康委员会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1341.04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1235.18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92.1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1806.7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部门预算包括本级预算及下属</w:t>
      </w:r>
      <w:r>
        <w:rPr>
          <w:rFonts w:ascii="仿宋_GB2312" w:hAnsi="宋体" w:eastAsia="仿宋_GB2312" w:cs="宋体"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二级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预算单位在内的汇总预算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，今年部门预算包括就本级预算。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105.86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105.86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未安排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预算。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民丰县卫生健康委员会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1341.04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支出预算包括：社会保障和就业支出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177.07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行政事业单位养老支出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177.07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；卫生健康支出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1163.97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卫生健康管理事务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1058.11万元、计划生育事务105.86万元。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民丰县卫生健康委员会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  <w:lang w:eastAsia="zh-CN"/>
        </w:rPr>
        <w:t>共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预算当年拨款规模变化情况</w:t>
      </w:r>
    </w:p>
    <w:p>
      <w:pPr>
        <w:widowControl/>
        <w:spacing w:line="580" w:lineRule="exact"/>
        <w:ind w:firstLine="64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民丰县卫生健康委员会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1235.18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1806.7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59.4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部门预算包括本级预算及下属</w:t>
      </w:r>
      <w:r>
        <w:rPr>
          <w:rFonts w:ascii="仿宋_GB2312" w:hAnsi="宋体" w:eastAsia="仿宋_GB2312" w:cs="宋体"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二级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预算单位在内的汇总预算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，今年部门预算包括就本级预算。</w:t>
      </w:r>
    </w:p>
    <w:p>
      <w:pPr>
        <w:widowControl/>
        <w:numPr>
          <w:ilvl w:val="0"/>
          <w:numId w:val="1"/>
        </w:numPr>
        <w:spacing w:line="580" w:lineRule="exact"/>
        <w:ind w:firstLine="642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一般公共预算当年拨款结构情况</w:t>
      </w:r>
    </w:p>
    <w:p>
      <w:pPr>
        <w:spacing w:line="580" w:lineRule="exact"/>
        <w:ind w:firstLine="64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hint="eastAsia" w:ascii="仿宋_GB2312" w:eastAsia="仿宋_GB2312"/>
          <w:sz w:val="32"/>
          <w:szCs w:val="32"/>
        </w:rPr>
        <w:t>（类）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177.07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卫生健康支出</w:t>
      </w:r>
      <w:r>
        <w:rPr>
          <w:rFonts w:hint="eastAsia" w:ascii="仿宋_GB2312" w:eastAsia="仿宋_GB2312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1163.97万元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86.8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widowControl/>
        <w:spacing w:line="580" w:lineRule="exact"/>
        <w:ind w:firstLine="642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2080505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类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行政事业单位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养老支出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款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项</w:t>
      </w:r>
      <w:r>
        <w:rPr>
          <w:rFonts w:ascii="仿宋_GB2312" w:hAnsi="宋体" w:eastAsia="仿宋_GB2312" w:cs="宋体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177.07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227.3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56.21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部门预算包括本级预算及下属</w:t>
      </w:r>
      <w:r>
        <w:rPr>
          <w:rFonts w:ascii="仿宋_GB2312" w:hAnsi="宋体" w:eastAsia="仿宋_GB2312" w:cs="宋体"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二级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预算单位在内的汇总预算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，今年部门预算包括就本级预算。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</w:p>
    <w:p>
      <w:pPr>
        <w:widowControl/>
        <w:spacing w:line="580" w:lineRule="exact"/>
        <w:ind w:firstLine="640"/>
        <w:jc w:val="both"/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2100101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卫生健康支出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类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卫生健康管理事务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款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行政运行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项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1058.11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1579.4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59.88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部门预算包括本级预算及下属</w:t>
      </w:r>
      <w:r>
        <w:rPr>
          <w:rFonts w:ascii="仿宋_GB2312" w:hAnsi="宋体" w:eastAsia="仿宋_GB2312" w:cs="宋体"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二级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预算单位在内的汇总预算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，今年部门预算包括就本级预算。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</w:p>
    <w:p>
      <w:pPr>
        <w:widowControl/>
        <w:spacing w:line="580" w:lineRule="exact"/>
        <w:ind w:firstLine="640"/>
        <w:jc w:val="both"/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3.2100716卫生健康支出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类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计划生育事务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款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计划生育机构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项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105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计划生育递增经费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和县配套农牧民计划生育免费手术技术服务经费未纳入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，年中经过追加预算执行。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2020年将以上县配套经费纳入预算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</w:p>
    <w:p>
      <w:pPr>
        <w:spacing w:line="5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4.2100799卫生健康支出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类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计划生育事务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款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其他计划生育事务支出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项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0.86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0.86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县配套计划生育奖励金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未纳入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县配套计划生育奖励金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纳入预算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2"/>
        </w:numPr>
        <w:spacing w:line="580" w:lineRule="exact"/>
        <w:ind w:firstLine="640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民丰县卫生健康委员会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民丰县卫生健康委员会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1235.18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1169.1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万元，主要包括：基本工资、津贴补贴、奖金、机关事业单位基本养老保险缴费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、职工基本医疗保险缴费、公务员医疗补助缴费、其他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、住房公积金、退休费、生活补助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66.08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万元，主要包括：办公费、水电费、邮电费、取暖费、交通费、差旅费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、工会经费、福利费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3"/>
        </w:numPr>
        <w:spacing w:line="580" w:lineRule="exact"/>
        <w:ind w:firstLine="640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民丰县卫生健康委员会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widowControl w:val="0"/>
        <w:spacing w:line="560" w:lineRule="exact"/>
        <w:ind w:firstLine="643" w:firstLineChars="200"/>
        <w:jc w:val="both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项目</w:t>
      </w:r>
      <w:r>
        <w:rPr>
          <w:rFonts w:ascii="仿宋_GB2312" w:hAnsi="黑体" w:eastAsia="仿宋_GB2312"/>
          <w:b/>
          <w:bCs/>
          <w:sz w:val="32"/>
          <w:szCs w:val="32"/>
        </w:rPr>
        <w:t>名称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计划生育递增经费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和党办【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2017】38号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55万元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民丰县卫生健康委员会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资金不进行分配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</w:t>
      </w:r>
    </w:p>
    <w:p>
      <w:pPr>
        <w:widowControl w:val="0"/>
        <w:spacing w:line="560" w:lineRule="exact"/>
        <w:ind w:firstLine="643" w:firstLineChars="200"/>
        <w:jc w:val="both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项目</w:t>
      </w:r>
      <w:r>
        <w:rPr>
          <w:rFonts w:ascii="仿宋_GB2312" w:hAnsi="黑体" w:eastAsia="仿宋_GB2312"/>
          <w:b/>
          <w:bCs/>
          <w:sz w:val="32"/>
          <w:szCs w:val="32"/>
        </w:rPr>
        <w:t>名称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县配套农牧民计划生育免费手术技术服务经费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和党办【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2017】38号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50万元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民丰县卫生健康委员会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资金不进行分配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  <w:lang w:val="en-US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</w:t>
      </w:r>
    </w:p>
    <w:p>
      <w:pPr>
        <w:widowControl w:val="0"/>
        <w:spacing w:line="560" w:lineRule="exact"/>
        <w:ind w:firstLine="643" w:firstLineChars="200"/>
        <w:jc w:val="both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项目</w:t>
      </w:r>
      <w:r>
        <w:rPr>
          <w:rFonts w:ascii="仿宋_GB2312" w:hAnsi="黑体" w:eastAsia="仿宋_GB2312"/>
          <w:b/>
          <w:bCs/>
          <w:sz w:val="32"/>
          <w:szCs w:val="32"/>
        </w:rPr>
        <w:t>名称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县配套计划生育奖励金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和地财社【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2020】32号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0.86万元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民丰县卫生健康委员会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自治区城镇部分家庭奖励政策补助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0.21万元、自治区计划生育“少生快福”工程奖励0.03万元、农村实行计划生育家庭结扎奖励0.62万元。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地方财政配套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自治区城镇部分家庭奖励政策补助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享受7人、自治区计划生育“少生快福”工程奖励享受2人、农村实行计划生育家庭结扎奖励享受12人。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自治区城镇部分家庭奖励政策补助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地方配套300元/人、自治区计划生育“少生快福”工程奖励地方配套150元/人、农村实行计划生育家庭结扎奖励地方配套500元/人。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实行计划生育家庭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一卡通发放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摸底对象</w:t>
      </w:r>
      <w:r>
        <w:rPr>
          <w:rFonts w:hint="default" w:ascii="Arial" w:hAnsi="Arial" w:eastAsia="仿宋_GB2312" w:cs="Arial"/>
          <w:kern w:val="0"/>
          <w:sz w:val="32"/>
          <w:szCs w:val="32"/>
          <w:lang w:eastAsia="zh-CN"/>
        </w:rPr>
        <w:t>→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县乡村三级公示</w:t>
      </w:r>
      <w:r>
        <w:rPr>
          <w:rFonts w:hint="default" w:ascii="Arial" w:hAnsi="Arial" w:eastAsia="仿宋_GB2312" w:cs="Arial"/>
          <w:kern w:val="0"/>
          <w:sz w:val="32"/>
          <w:szCs w:val="32"/>
          <w:lang w:eastAsia="zh-CN"/>
        </w:rPr>
        <w:t>→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资格确认</w:t>
      </w:r>
      <w:r>
        <w:rPr>
          <w:rFonts w:hint="default" w:ascii="Arial" w:hAnsi="Arial" w:eastAsia="仿宋_GB2312" w:cs="Arial"/>
          <w:kern w:val="0"/>
          <w:sz w:val="32"/>
          <w:szCs w:val="32"/>
          <w:lang w:eastAsia="zh-CN"/>
        </w:rPr>
        <w:t>→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网上上报</w:t>
      </w:r>
      <w:r>
        <w:rPr>
          <w:rFonts w:hint="default" w:ascii="Arial" w:hAnsi="Arial" w:eastAsia="仿宋_GB2312" w:cs="Arial"/>
          <w:kern w:val="0"/>
          <w:sz w:val="32"/>
          <w:szCs w:val="32"/>
          <w:lang w:eastAsia="zh-CN"/>
        </w:rPr>
        <w:t>→</w:t>
      </w:r>
      <w:r>
        <w:rPr>
          <w:rFonts w:hint="eastAsia" w:ascii="Arial" w:hAnsi="Arial" w:eastAsia="仿宋_GB2312" w:cs="Arial"/>
          <w:kern w:val="0"/>
          <w:sz w:val="32"/>
          <w:szCs w:val="32"/>
          <w:lang w:eastAsia="zh-CN"/>
        </w:rPr>
        <w:t>复查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核实</w:t>
      </w:r>
      <w:r>
        <w:rPr>
          <w:rFonts w:hint="default" w:ascii="Arial" w:hAnsi="Arial" w:eastAsia="仿宋_GB2312" w:cs="Arial"/>
          <w:kern w:val="0"/>
          <w:sz w:val="32"/>
          <w:szCs w:val="32"/>
          <w:lang w:eastAsia="zh-CN"/>
        </w:rPr>
        <w:t>→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录入一卡通</w:t>
      </w:r>
      <w:r>
        <w:rPr>
          <w:rFonts w:hint="default" w:ascii="Arial" w:hAnsi="Arial" w:eastAsia="仿宋_GB2312" w:cs="Arial"/>
          <w:kern w:val="0"/>
          <w:sz w:val="32"/>
          <w:szCs w:val="32"/>
          <w:lang w:eastAsia="zh-CN"/>
        </w:rPr>
        <w:t>→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补贴发放。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社会稳定水平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明显提高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民丰县卫生健康委员会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民丰县卫生健康委员会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万元，主要原因是未安排预算 ；公务用车购置费为0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，主要原因是未安排预算；公务用车运行费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今年经过机构改革，原卫生局和原计生委合并新建立卫健委；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万元，主要原因是未安排预算 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民丰县卫生健康委员会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民丰县卫生健康委员会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民丰县卫生健康委员会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66.08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71.98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52.14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部门预算包括本级预算及下属</w:t>
      </w:r>
      <w:r>
        <w:rPr>
          <w:rFonts w:ascii="仿宋_GB2312" w:hAnsi="宋体" w:eastAsia="仿宋_GB2312" w:cs="宋体"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二级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预算单位在内的汇总预算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，今年部门预算包括就本级预算。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民丰县卫生健康委员会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民丰县卫生健康委员会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占用使用国有资产总体情况为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1543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平方米，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shd w:val="clear" w:color="auto" w:fill="auto"/>
        </w:rPr>
        <w:t>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shd w:val="clear" w:color="auto" w:fill="auto"/>
          <w:lang w:val="en-US" w:eastAsia="zh-CN"/>
        </w:rPr>
        <w:t>28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shd w:val="clear" w:color="auto" w:fill="auto"/>
        </w:rPr>
        <w:t>万元。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shd w:val="clear" w:color="auto" w:fill="auto"/>
          <w:lang w:eastAsia="zh-CN"/>
        </w:rPr>
        <w:t>（与妇幼保健站合署办公）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45.42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45.42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0万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widowControl/>
        <w:shd w:val="clear" w:color="auto" w:fill="auto"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4.55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136.56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widowControl/>
        <w:shd w:val="clear" w:color="auto" w:fill="auto"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台（套）。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年部门预算未安排购置车辆经费（或安排购置车辆经费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个，涉及预算金额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105.86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民丰县卫生健康委员会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计划生育递增经费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55万元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55万元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1.稳定适度生育水平，实行各民族平等的计划生育政策，夯实基层基础，加强宣传引导，完善政策导向机制，引导群众有优生计划安排生育，群众生育观念明显转变。人口出生率和自然增张率分别在2016年的基础上至少下降4个千分点，切实有效解决人口过快增张、促进人口、经济、社会、资源、环境协调发展；2；向农村实行计划生育的育龄夫妻免费提供避孕、节育技术服务，强化孕前型管理工作，降低非意愿妊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县财政安排计划生育递增经费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55万元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预算执行开始时间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2020年1月1日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预算执行结束时间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统计报表上报及时率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完成人口情况监测工作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完成计划生育利益导向工作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违法生育人数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人口出生率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自然增长率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≤5.4‰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全员人口信息准确率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出生人口政策符合率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≥9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9.9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稳定适度生育水平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逐步稳定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已婚育龄妇女优生优育、生殖健康知识水平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 xml:space="preserve">逐步提高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民丰县卫生健康委员会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县配套农牧民计划生育免费手术技术服务经费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50万元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1.稳定适度生育水平，实行各民族平等的计划生育政策，夯实基层基础，加强宣传引导，完善政策导向机制，引导群众有优生计划安排生育，群众生育观念明显转变。人口出生率和自然增张率分别在2019年的基础上至少下降4个千分点，切实有效解决人口过快增张、促进人口、经济、社会、资源、环境协调发展；2；向农村实行计划生育的育龄夫妻免费提供避孕、节育技术服务，强化孕前型管理工作，降低非意愿妊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县财政安排计划生育递增经费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50万元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预算执行开始时间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2020年1月1日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预算执行结束时间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统计报表上报及时率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完成人口情况监测工作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完成计划生育利益导向工作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违法生育人数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单月访视、双月查孕、季度查环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人口出生率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自然增长率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≤5.4‰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全员人口信息准确率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长效避孕率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≥85%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出生人口政策符合率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99.9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已婚育龄群众优生优育水平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 xml:space="preserve">逐步提高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稳定适度生育水平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逐步稳定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已婚育龄群众避孕节育水平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中长期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已婚育龄妇女优生优育、生殖健康知识知晓率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 xml:space="preserve">逐步提高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≥92%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tbl>
      <w:tblPr>
        <w:tblStyle w:val="7"/>
        <w:tblW w:w="139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民丰县卫生健康委员会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县配套计划生育奖励金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0.86万元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0.86万元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目标1：实施农村计划生育家庭奖励扶助制度，提高家庭发展能力。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目标2：实施西部“少生快富”工程，改善计划生育家庭生产生活状况，引导和帮助计划生育家庭发展生产，促进西部地区进一步降低生育水平。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目标3：实施计划生育家庭特别扶助制度，缓解计划生育困难家庭在生产、生活、医疗和养老等方面的特殊困难，保障和改善民生，促进社会和谐稳定。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自治区城镇部分家庭奖励政策补助地方配套标准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 xml:space="preserve">300元/人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自治区计划生育“少生快福”工程奖励地方配套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 xml:space="preserve">150元/人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实行计划生农村育家庭结扎奖励地方配套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500元/人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结束时间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年12月31日前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奖励和扶助资金发放及时率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自治区城镇部分家庭奖励政策补助人数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自治区计划生育“少生快福”工程奖励户数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农村实行计划生育家庭结扎奖励人数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≥12人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符合条件申报对象覆盖率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家庭发展能力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逐步提高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稳定适度生育水平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逐步稳定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 xml:space="preserve">社会稳定水平 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 xml:space="preserve">明显提高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470" w:left="1440" w:header="851" w:footer="992" w:gutter="0"/>
          <w:cols w:space="720" w:num="1"/>
          <w:docGrid w:type="lines" w:linePitch="312" w:charSpace="0"/>
        </w:sectPr>
      </w:pPr>
    </w:p>
    <w:p>
      <w:pPr>
        <w:widowControl/>
        <w:numPr>
          <w:ilvl w:val="0"/>
          <w:numId w:val="4"/>
        </w:numPr>
        <w:spacing w:line="560" w:lineRule="exact"/>
        <w:ind w:firstLine="630" w:firstLineChars="196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其他需说明的事项</w:t>
      </w:r>
    </w:p>
    <w:p>
      <w:pPr>
        <w:widowControl/>
        <w:numPr>
          <w:ilvl w:val="0"/>
          <w:numId w:val="0"/>
        </w:numPr>
        <w:spacing w:line="560" w:lineRule="exact"/>
        <w:ind w:firstLine="1600" w:firstLineChars="5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</w:t>
      </w:r>
      <w:r>
        <w:rPr>
          <w:rFonts w:hint="eastAsia" w:ascii="仿宋_GB2312" w:eastAsia="仿宋_GB2312"/>
          <w:sz w:val="32"/>
          <w:szCs w:val="32"/>
          <w:lang w:eastAsia="zh-CN"/>
        </w:rPr>
        <w:t>民丰县卫生健康委员会</w:t>
      </w:r>
      <w:r>
        <w:rPr>
          <w:rFonts w:hint="eastAsia" w:ascii="仿宋_GB2312" w:eastAsia="仿宋_GB2312"/>
          <w:sz w:val="32"/>
          <w:szCs w:val="32"/>
        </w:rPr>
        <w:t>本级为完成其特定的行政任务或事业发展目标，在基本支出预算之外编制的年度项目支出计划。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、“三公”经费：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eastAsia="仿宋_GB2312"/>
          <w:sz w:val="32"/>
          <w:szCs w:val="32"/>
          <w:lang w:eastAsia="zh-CN"/>
        </w:rPr>
        <w:t>民丰县卫生健康委员会</w:t>
      </w:r>
      <w:r>
        <w:rPr>
          <w:rFonts w:hint="eastAsia" w:ascii="仿宋_GB2312" w:eastAsia="仿宋_GB2312"/>
          <w:sz w:val="32"/>
          <w:szCs w:val="32"/>
        </w:rPr>
        <w:t>本级用一般公共预算财政拨款安</w:t>
      </w:r>
      <w:r>
        <w:rPr>
          <w:rFonts w:hint="eastAsia" w:ascii="仿宋_GB2312" w:eastAsia="仿宋_GB2312"/>
          <w:sz w:val="32"/>
          <w:szCs w:val="32"/>
          <w:highlight w:val="none"/>
        </w:rPr>
        <w:t>排的公务用车运行费。公务用车运行费指单位公务用车租用费、燃料费、维修费、过路过桥</w:t>
      </w:r>
      <w:r>
        <w:rPr>
          <w:rFonts w:hint="eastAsia" w:ascii="仿宋_GB2312" w:eastAsia="仿宋_GB2312"/>
          <w:sz w:val="32"/>
          <w:szCs w:val="32"/>
        </w:rPr>
        <w:t>费、保险费等支出。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、机关运行经费：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民丰县卫生健康委员会</w:t>
      </w:r>
      <w:r>
        <w:rPr>
          <w:rFonts w:hint="eastAsia" w:ascii="仿宋_GB2312" w:eastAsia="仿宋_GB2312"/>
          <w:sz w:val="32"/>
          <w:szCs w:val="32"/>
        </w:rPr>
        <w:t>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民丰县卫生健康委员会</w:t>
      </w:r>
    </w:p>
    <w:p>
      <w:pPr>
        <w:widowControl/>
        <w:spacing w:line="560" w:lineRule="exact"/>
        <w:jc w:val="left"/>
        <w:rPr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t>- 18 -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F7609"/>
    <w:multiLevelType w:val="singleLevel"/>
    <w:tmpl w:val="5C8F7609"/>
    <w:lvl w:ilvl="0" w:tentative="0">
      <w:start w:val="5"/>
      <w:numFmt w:val="chineseCounting"/>
      <w:suff w:val="nothing"/>
      <w:lvlText w:val="（%1）"/>
      <w:lvlJc w:val="left"/>
    </w:lvl>
  </w:abstractNum>
  <w:abstractNum w:abstractNumId="1">
    <w:nsid w:val="5CB969AD"/>
    <w:multiLevelType w:val="singleLevel"/>
    <w:tmpl w:val="5CB969AD"/>
    <w:lvl w:ilvl="0" w:tentative="0">
      <w:start w:val="7"/>
      <w:numFmt w:val="chineseCounting"/>
      <w:suff w:val="nothing"/>
      <w:lvlText w:val="%1、"/>
      <w:lvlJc w:val="left"/>
    </w:lvl>
  </w:abstractNum>
  <w:abstractNum w:abstractNumId="2">
    <w:nsid w:val="5CB9819E"/>
    <w:multiLevelType w:val="singleLevel"/>
    <w:tmpl w:val="5CB9819E"/>
    <w:lvl w:ilvl="0" w:tentative="0">
      <w:start w:val="2"/>
      <w:numFmt w:val="chineseCounting"/>
      <w:suff w:val="nothing"/>
      <w:lvlText w:val="（%1）"/>
      <w:lvlJc w:val="left"/>
    </w:lvl>
  </w:abstractNum>
  <w:abstractNum w:abstractNumId="3">
    <w:nsid w:val="5CB982D4"/>
    <w:multiLevelType w:val="singleLevel"/>
    <w:tmpl w:val="5CB982D4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3211C64"/>
    <w:rsid w:val="27A22B7B"/>
    <w:rsid w:val="2DFE36C4"/>
    <w:rsid w:val="30693BDC"/>
    <w:rsid w:val="326B10E6"/>
    <w:rsid w:val="36167B2F"/>
    <w:rsid w:val="49FF0955"/>
    <w:rsid w:val="52A439C2"/>
    <w:rsid w:val="6F2135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9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0"/>
    <w:rPr>
      <w:rFonts w:cs="Times New Roman"/>
      <w:b/>
      <w:bCs/>
    </w:rPr>
  </w:style>
  <w:style w:type="character" w:styleId="10">
    <w:name w:val="page number"/>
    <w:basedOn w:val="8"/>
    <w:qFormat/>
    <w:uiPriority w:val="0"/>
  </w:style>
  <w:style w:type="paragraph" w:customStyle="1" w:styleId="11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4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15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16">
    <w:name w:val="页脚 Char Char"/>
    <w:basedOn w:val="8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7">
    <w:name w:val="批注框文本 Char Char"/>
    <w:basedOn w:val="8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Char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正文文本缩进 3 Char Char"/>
    <w:basedOn w:val="8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5333</Words>
  <Characters>6126</Characters>
  <Lines>74</Lines>
  <Paragraphs>21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^_^玫瑰人生^_^</cp:lastModifiedBy>
  <cp:lastPrinted>2020-05-01T03:07:00Z</cp:lastPrinted>
  <dcterms:modified xsi:type="dcterms:W3CDTF">2020-06-24T11:07:52Z</dcterms:modified>
  <dc:title>民丰县卫生健康委员会2019年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