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p>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t>民丰县司法局</w:t>
      </w:r>
    </w:p>
    <w:p>
      <w:pPr>
        <w:widowControl/>
        <w:spacing w:before="100" w:beforeAutospacing="1" w:after="100" w:afterAutospacing="1"/>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2020年部门预算公开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黑体" w:hAnsi="黑体" w:eastAsia="黑体"/>
          <w:kern w:val="0"/>
          <w:sz w:val="36"/>
          <w:szCs w:val="32"/>
        </w:rPr>
        <w:t>目 录</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民丰县司法局单位概况</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2020年部门预算情况说明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一、关于民丰县司法局2020年收支预算情况的总体说明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二、关于民丰县司法局2020年收入预算情况说明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三、关于民丰县司法局2020年支出预算情况说明</w:t>
      </w:r>
    </w:p>
    <w:p>
      <w:pPr>
        <w:widowControl/>
        <w:spacing w:line="460" w:lineRule="exact"/>
        <w:ind w:firstLine="640" w:firstLineChars="200"/>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民丰县司法局</w:t>
      </w:r>
      <w:r>
        <w:rPr>
          <w:rFonts w:hint="eastAsia" w:ascii="仿宋_GB2312" w:hAnsi="宋体" w:eastAsia="仿宋_GB2312"/>
          <w:bCs/>
          <w:kern w:val="0"/>
          <w:sz w:val="32"/>
          <w:szCs w:val="32"/>
        </w:rPr>
        <w:t>2020年财政拨款收支预算情况的总体说明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五、关于民丰县司法局2020年一般公共预算当年拨款情况说明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六、关于民丰县司法局2020年一般公共预算基本支出情况说明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七、关于民丰县司法局2020年项目支出情况说明</w:t>
      </w:r>
    </w:p>
    <w:p>
      <w:pPr>
        <w:widowControl/>
        <w:spacing w:line="460" w:lineRule="exact"/>
        <w:ind w:left="1278" w:leftChars="304" w:hanging="640" w:hangingChars="200"/>
        <w:outlineLvl w:val="1"/>
        <w:rPr>
          <w:rFonts w:ascii="仿宋_GB2312" w:hAnsi="宋体" w:eastAsia="仿宋_GB2312"/>
          <w:kern w:val="0"/>
          <w:sz w:val="32"/>
          <w:szCs w:val="32"/>
        </w:rPr>
      </w:pPr>
      <w:r>
        <w:rPr>
          <w:rFonts w:hint="eastAsia" w:ascii="仿宋_GB2312" w:hAnsi="宋体" w:eastAsia="仿宋_GB2312"/>
          <w:kern w:val="0"/>
          <w:sz w:val="32"/>
          <w:szCs w:val="32"/>
        </w:rPr>
        <w:t>八、关于民丰县司法局2020年一般公共预算“三公”经费预算情况说明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九、关于民丰县司法局2020年政府性基金预算拨款情况说明</w:t>
      </w:r>
    </w:p>
    <w:p>
      <w:pPr>
        <w:widowControl/>
        <w:spacing w:line="46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ind w:firstLine="643" w:firstLineChars="200"/>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民丰县司法局单位概况</w:t>
      </w:r>
    </w:p>
    <w:p>
      <w:pPr>
        <w:widowControl/>
        <w:jc w:val="center"/>
        <w:outlineLvl w:val="1"/>
        <w:rPr>
          <w:rFonts w:ascii="宋体" w:hAnsi="宋体"/>
          <w:b/>
          <w:kern w:val="0"/>
          <w:sz w:val="32"/>
          <w:szCs w:val="32"/>
        </w:rPr>
      </w:pPr>
    </w:p>
    <w:p>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xml:space="preserve">　  </w:t>
      </w:r>
      <w:r>
        <w:rPr>
          <w:rFonts w:hint="eastAsia" w:ascii="黑体" w:hAnsi="黑体" w:eastAsia="黑体" w:cs="宋体"/>
          <w:bCs/>
          <w:kern w:val="0"/>
          <w:sz w:val="32"/>
          <w:szCs w:val="32"/>
        </w:rPr>
        <w:t>一、主要职能</w:t>
      </w:r>
    </w:p>
    <w:p>
      <w:pPr>
        <w:widowControl/>
        <w:spacing w:line="560" w:lineRule="exact"/>
        <w:ind w:firstLine="320" w:firstLineChars="100"/>
        <w:jc w:val="left"/>
        <w:rPr>
          <w:rFonts w:hint="eastAsia" w:ascii="仿宋_GB2312" w:hAnsi="新宋体" w:eastAsia="仿宋_GB2312"/>
          <w:b w:val="0"/>
          <w:bCs w:val="0"/>
          <w:sz w:val="32"/>
          <w:szCs w:val="32"/>
          <w:lang w:val="en-US" w:eastAsia="zh-CN"/>
        </w:rPr>
      </w:pPr>
      <w:r>
        <w:rPr>
          <w:rFonts w:hint="eastAsia" w:ascii="仿宋_GB2312" w:hAnsi="新宋体" w:eastAsia="仿宋_GB2312"/>
          <w:b w:val="0"/>
          <w:bCs w:val="0"/>
          <w:sz w:val="32"/>
          <w:szCs w:val="32"/>
          <w:lang w:val="en-US" w:eastAsia="zh-CN"/>
        </w:rPr>
        <w:t>略</w:t>
      </w:r>
    </w:p>
    <w:p>
      <w:pPr>
        <w:widowControl/>
        <w:spacing w:line="560" w:lineRule="exact"/>
        <w:ind w:firstLine="320" w:firstLineChars="100"/>
        <w:jc w:val="left"/>
        <w:rPr>
          <w:rFonts w:ascii="仿宋_GB2312" w:hAnsi="宋体" w:eastAsia="仿宋_GB2312" w:cs="宋体"/>
          <w:bCs/>
          <w:kern w:val="0"/>
          <w:sz w:val="32"/>
          <w:szCs w:val="32"/>
        </w:rPr>
      </w:pPr>
      <w:r>
        <w:rPr>
          <w:rFonts w:hint="eastAsia" w:ascii="黑体" w:hAnsi="黑体" w:eastAsia="黑体" w:cs="宋体"/>
          <w:bCs/>
          <w:kern w:val="0"/>
          <w:sz w:val="32"/>
          <w:szCs w:val="32"/>
        </w:rPr>
        <w:t>二、机构设置及人员情况</w:t>
      </w:r>
    </w:p>
    <w:p>
      <w:pPr>
        <w:widowControl/>
        <w:spacing w:line="560" w:lineRule="exact"/>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略</w:t>
      </w: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hint="eastAsia" w:ascii="黑体" w:hAnsi="黑体" w:eastAsia="黑体"/>
          <w:kern w:val="0"/>
          <w:sz w:val="32"/>
          <w:szCs w:val="32"/>
        </w:rPr>
      </w:pPr>
    </w:p>
    <w:p>
      <w:pPr>
        <w:widowControl/>
        <w:spacing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2020年部门预算公开表</w:t>
      </w: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编制部门：民丰县司法局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474.46</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474.46</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409.53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r>
              <w:rPr>
                <w:rFonts w:hint="eastAsia" w:ascii="仿宋_GB2312" w:hAnsi="宋体" w:eastAsia="仿宋_GB2312" w:cs="宋体"/>
                <w:kern w:val="0"/>
                <w:sz w:val="18"/>
                <w:szCs w:val="18"/>
              </w:rPr>
              <w:t>64.93</w:t>
            </w: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55"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5"/>
                <w:szCs w:val="15"/>
              </w:rPr>
            </w:pPr>
            <w:r>
              <w:rPr>
                <w:rFonts w:hint="eastAsia" w:ascii="仿宋_GB2312" w:hAnsi="宋体" w:eastAsia="仿宋_GB2312" w:cs="宋体"/>
                <w:kern w:val="0"/>
                <w:sz w:val="18"/>
                <w:szCs w:val="18"/>
              </w:rPr>
              <w:t>230转移性支出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474.46</w:t>
            </w:r>
          </w:p>
        </w:tc>
        <w:tc>
          <w:tcPr>
            <w:tcW w:w="2693" w:type="dxa"/>
            <w:tcBorders>
              <w:top w:val="nil"/>
              <w:left w:val="nil"/>
              <w:bottom w:val="single" w:color="auto" w:sz="4" w:space="0"/>
              <w:right w:val="single" w:color="auto" w:sz="4" w:space="0"/>
            </w:tcBorders>
            <w:vAlign w:val="center"/>
          </w:tcPr>
          <w:p>
            <w:pPr>
              <w:widowControl/>
              <w:spacing w:line="300" w:lineRule="exact"/>
              <w:jc w:val="left"/>
              <w:rPr>
                <w:rFonts w:ascii="仿宋_GB2312" w:hAnsi="宋体" w:eastAsia="仿宋_GB2312"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pPr>
              <w:widowControl/>
              <w:spacing w:line="300" w:lineRule="exact"/>
              <w:jc w:val="center"/>
              <w:rPr>
                <w:rFonts w:ascii="仿宋_GB2312" w:hAnsi="宋体" w:eastAsia="仿宋_GB2312" w:cs="宋体"/>
                <w:kern w:val="0"/>
                <w:sz w:val="20"/>
                <w:szCs w:val="20"/>
              </w:rPr>
            </w:pPr>
          </w:p>
        </w:tc>
        <w:tc>
          <w:tcPr>
            <w:tcW w:w="1701" w:type="dxa"/>
            <w:tcBorders>
              <w:top w:val="nil"/>
              <w:left w:val="single" w:color="auto" w:sz="4" w:space="0"/>
              <w:bottom w:val="single" w:color="auto" w:sz="4" w:space="0"/>
              <w:right w:val="single" w:color="auto" w:sz="4" w:space="0"/>
            </w:tcBorders>
            <w:vAlign w:val="center"/>
          </w:tcPr>
          <w:p>
            <w:pPr>
              <w:widowControl/>
              <w:jc w:val="left"/>
              <w:textAlignment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474.46　</w:t>
            </w:r>
          </w:p>
        </w:tc>
        <w:tc>
          <w:tcPr>
            <w:tcW w:w="2693"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474.46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填报部门： 民丰县司法局                  单位：万元</w:t>
      </w:r>
    </w:p>
    <w:tbl>
      <w:tblPr>
        <w:tblStyle w:val="7"/>
        <w:tblW w:w="9654" w:type="dxa"/>
        <w:tblInd w:w="-450" w:type="dxa"/>
        <w:tblLayout w:type="fixed"/>
        <w:tblCellMar>
          <w:top w:w="0" w:type="dxa"/>
          <w:left w:w="108" w:type="dxa"/>
          <w:bottom w:w="0" w:type="dxa"/>
          <w:right w:w="108" w:type="dxa"/>
        </w:tblCellMar>
      </w:tblPr>
      <w:tblGrid>
        <w:gridCol w:w="416"/>
        <w:gridCol w:w="418"/>
        <w:gridCol w:w="417"/>
        <w:gridCol w:w="2145"/>
        <w:gridCol w:w="820"/>
        <w:gridCol w:w="878"/>
        <w:gridCol w:w="482"/>
        <w:gridCol w:w="680"/>
        <w:gridCol w:w="680"/>
        <w:gridCol w:w="680"/>
        <w:gridCol w:w="680"/>
        <w:gridCol w:w="680"/>
        <w:gridCol w:w="678"/>
      </w:tblGrid>
      <w:tr>
        <w:tblPrEx>
          <w:tblCellMar>
            <w:top w:w="0" w:type="dxa"/>
            <w:left w:w="108" w:type="dxa"/>
            <w:bottom w:w="0" w:type="dxa"/>
            <w:right w:w="108" w:type="dxa"/>
          </w:tblCellMar>
        </w:tblPrEx>
        <w:trPr>
          <w:trHeight w:val="68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8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82"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48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204　</w:t>
            </w:r>
          </w:p>
        </w:tc>
        <w:tc>
          <w:tcPr>
            <w:tcW w:w="41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公共安全支出</w:t>
            </w:r>
          </w:p>
        </w:tc>
        <w:tc>
          <w:tcPr>
            <w:tcW w:w="82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409.53</w:t>
            </w:r>
          </w:p>
        </w:tc>
        <w:tc>
          <w:tcPr>
            <w:tcW w:w="8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402.53　</w:t>
            </w:r>
          </w:p>
        </w:tc>
        <w:tc>
          <w:tcPr>
            <w:tcW w:w="482"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204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06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ascii="仿宋_GB2312" w:hAnsi="宋体" w:eastAsia="仿宋_GB2312" w:cs="宋体"/>
                <w:color w:val="000000"/>
                <w:sz w:val="20"/>
                <w:szCs w:val="20"/>
              </w:rPr>
              <w:t>司法</w:t>
            </w: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409.53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402.53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204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06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01　</w:t>
            </w:r>
          </w:p>
        </w:tc>
        <w:tc>
          <w:tcPr>
            <w:tcW w:w="2145" w:type="dxa"/>
            <w:tcBorders>
              <w:top w:val="nil"/>
              <w:left w:val="nil"/>
              <w:bottom w:val="single" w:color="auto" w:sz="4" w:space="0"/>
              <w:right w:val="single" w:color="auto" w:sz="4" w:space="0"/>
            </w:tcBorders>
            <w:vAlign w:val="center"/>
          </w:tcPr>
          <w:p>
            <w:pPr>
              <w:ind w:firstLine="600" w:firstLineChars="300"/>
              <w:rPr>
                <w:rFonts w:ascii="仿宋_GB2312" w:hAnsi="宋体" w:eastAsia="仿宋_GB2312" w:cs="宋体"/>
                <w:color w:val="000000"/>
                <w:sz w:val="20"/>
                <w:szCs w:val="20"/>
              </w:rPr>
            </w:pPr>
            <w:r>
              <w:rPr>
                <w:rFonts w:hint="eastAsia" w:ascii="仿宋_GB2312" w:hAnsi="宋体" w:eastAsia="仿宋_GB2312" w:cs="宋体"/>
                <w:color w:val="000000"/>
                <w:sz w:val="20"/>
                <w:szCs w:val="20"/>
              </w:rPr>
              <w:t>行政运行</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409.53</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402.53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r>
              <w:rPr>
                <w:rFonts w:hint="eastAsia" w:ascii="仿宋_GB2312" w:hAnsi="宋体" w:eastAsia="仿宋_GB2312" w:cs="宋体"/>
                <w:kern w:val="0"/>
                <w:sz w:val="18"/>
                <w:szCs w:val="18"/>
              </w:rPr>
              <w:t>社会保障和就业支出</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64.93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64.93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行政事业单位养老支出</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64.93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64.93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208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05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机关事业单位基本养老保险</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64.93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64.93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416" w:type="dxa"/>
            <w:tcBorders>
              <w:top w:val="nil"/>
              <w:left w:val="single" w:color="auto" w:sz="4" w:space="0"/>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474.46　</w:t>
            </w:r>
          </w:p>
        </w:tc>
        <w:tc>
          <w:tcPr>
            <w:tcW w:w="8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467.46　</w:t>
            </w:r>
          </w:p>
        </w:tc>
        <w:tc>
          <w:tcPr>
            <w:tcW w:w="482"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编制部门：民丰县司法局                            单位：万元</w:t>
      </w:r>
    </w:p>
    <w:tbl>
      <w:tblPr>
        <w:tblStyle w:val="7"/>
        <w:tblW w:w="9420" w:type="dxa"/>
        <w:tblInd w:w="-240" w:type="dxa"/>
        <w:tblLayout w:type="fixed"/>
        <w:tblCellMar>
          <w:top w:w="0" w:type="dxa"/>
          <w:left w:w="108" w:type="dxa"/>
          <w:bottom w:w="0" w:type="dxa"/>
          <w:right w:w="108" w:type="dxa"/>
        </w:tblCellMar>
      </w:tblPr>
      <w:tblGrid>
        <w:gridCol w:w="401"/>
        <w:gridCol w:w="400"/>
        <w:gridCol w:w="400"/>
        <w:gridCol w:w="2604"/>
        <w:gridCol w:w="1855"/>
        <w:gridCol w:w="1856"/>
        <w:gridCol w:w="1904"/>
      </w:tblGrid>
      <w:tr>
        <w:tblPrEx>
          <w:tblCellMar>
            <w:top w:w="0" w:type="dxa"/>
            <w:left w:w="108" w:type="dxa"/>
            <w:bottom w:w="0" w:type="dxa"/>
            <w:right w:w="108" w:type="dxa"/>
          </w:tblCellMar>
        </w:tblPrEx>
        <w:trPr>
          <w:trHeight w:val="345" w:hRule="atLeast"/>
        </w:trPr>
        <w:tc>
          <w:tcPr>
            <w:tcW w:w="380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5615"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20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6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85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5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90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6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5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90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公共安全支出</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06</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ascii="仿宋_GB2312" w:hAnsi="宋体" w:eastAsia="仿宋_GB2312" w:cs="宋体"/>
                <w:color w:val="000000"/>
                <w:sz w:val="20"/>
                <w:szCs w:val="20"/>
              </w:rPr>
              <w:t>司法</w:t>
            </w:r>
            <w:r>
              <w:rPr>
                <w:rFonts w:hint="eastAsia" w:ascii="仿宋_GB2312" w:eastAsia="仿宋_GB2312"/>
                <w:color w:val="000000"/>
                <w:sz w:val="20"/>
                <w:szCs w:val="20"/>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204</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06</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01</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行政运行　</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仿宋_GB2312" w:hAnsi="宋体" w:eastAsia="仿宋_GB2312" w:cs="宋体"/>
                <w:kern w:val="0"/>
                <w:sz w:val="18"/>
                <w:szCs w:val="18"/>
              </w:rPr>
              <w:t>社会保障和就业支出</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208</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行政事业单位养老支出</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208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05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机关事业单位基本养老保险</w:t>
            </w: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4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856"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904"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r>
      <w:tr>
        <w:tblPrEx>
          <w:tblCellMar>
            <w:top w:w="0" w:type="dxa"/>
            <w:left w:w="108" w:type="dxa"/>
            <w:bottom w:w="0" w:type="dxa"/>
            <w:right w:w="108" w:type="dxa"/>
          </w:tblCellMar>
        </w:tblPrEx>
        <w:trPr>
          <w:trHeight w:val="405" w:hRule="atLeast"/>
        </w:trPr>
        <w:tc>
          <w:tcPr>
            <w:tcW w:w="40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0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60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185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仿宋_GB2312" w:eastAsia="仿宋_GB2312"/>
                <w:color w:val="000000"/>
                <w:sz w:val="20"/>
                <w:szCs w:val="20"/>
              </w:rPr>
              <w:t>474.46</w:t>
            </w:r>
          </w:p>
        </w:tc>
        <w:tc>
          <w:tcPr>
            <w:tcW w:w="185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r>
              <w:rPr>
                <w:rFonts w:hint="eastAsia" w:ascii="仿宋_GB2312" w:eastAsia="仿宋_GB2312"/>
                <w:color w:val="000000"/>
                <w:sz w:val="20"/>
                <w:szCs w:val="20"/>
              </w:rPr>
              <w:t>474.46</w:t>
            </w:r>
          </w:p>
        </w:tc>
        <w:tc>
          <w:tcPr>
            <w:tcW w:w="190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Lines="50"/>
        <w:outlineLvl w:val="1"/>
        <w:rPr>
          <w:rFonts w:ascii="仿宋_GB2312" w:hAnsi="宋体" w:eastAsia="仿宋_GB2312"/>
          <w:b/>
          <w:kern w:val="0"/>
          <w:sz w:val="32"/>
          <w:szCs w:val="32"/>
        </w:rPr>
      </w:pPr>
    </w:p>
    <w:p>
      <w:pPr>
        <w:widowControl/>
        <w:spacing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pPr>
        <w:widowControl/>
        <w:spacing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w:t>
      </w:r>
      <w:r>
        <w:rPr>
          <w:rFonts w:hint="eastAsia" w:ascii="仿宋_GB2312" w:hAnsi="宋体" w:eastAsia="仿宋_GB2312"/>
          <w:kern w:val="0"/>
          <w:sz w:val="24"/>
        </w:rPr>
        <w:t xml:space="preserve">民丰县司法局   </w:t>
      </w:r>
      <w:r>
        <w:rPr>
          <w:rFonts w:hint="eastAsia" w:ascii="仿宋_GB2312" w:hAnsi="宋体" w:eastAsia="仿宋_GB2312"/>
          <w:kern w:val="0"/>
          <w:sz w:val="28"/>
          <w:szCs w:val="28"/>
        </w:rPr>
        <w:t xml:space="preserve">                   </w:t>
      </w:r>
      <w:r>
        <w:rPr>
          <w:rFonts w:hint="eastAsia" w:ascii="仿宋_GB2312" w:hAnsi="宋体" w:eastAsia="仿宋_GB2312" w:cs="宋体"/>
          <w:color w:val="000000"/>
          <w:kern w:val="0"/>
          <w:sz w:val="24"/>
        </w:rPr>
        <w:t>单位：万元</w:t>
      </w:r>
    </w:p>
    <w:tbl>
      <w:tblPr>
        <w:tblStyle w:val="7"/>
        <w:tblW w:w="9449" w:type="dxa"/>
        <w:tblInd w:w="-240" w:type="dxa"/>
        <w:tblLayout w:type="fixed"/>
        <w:tblCellMar>
          <w:top w:w="0" w:type="dxa"/>
          <w:left w:w="108" w:type="dxa"/>
          <w:bottom w:w="0" w:type="dxa"/>
          <w:right w:w="108" w:type="dxa"/>
        </w:tblCellMar>
      </w:tblPr>
      <w:tblGrid>
        <w:gridCol w:w="1620"/>
        <w:gridCol w:w="1230"/>
        <w:gridCol w:w="2580"/>
        <w:gridCol w:w="1418"/>
        <w:gridCol w:w="1155"/>
        <w:gridCol w:w="1446"/>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599" w:type="dxa"/>
            <w:gridSpan w:val="4"/>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5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15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474.46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kern w:val="0"/>
                <w:sz w:val="18"/>
                <w:szCs w:val="18"/>
              </w:rPr>
              <w:t>474.46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409.53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409.53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64.63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64.93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szCs w:val="22"/>
              </w:rPr>
            </w:pPr>
            <w:r>
              <w:rPr>
                <w:rFonts w:hint="eastAsia" w:ascii="仿宋_GB2312" w:eastAsia="仿宋_GB2312"/>
                <w:color w:val="000000"/>
                <w:sz w:val="20"/>
                <w:szCs w:val="20"/>
              </w:rPr>
              <w:t>474.46</w:t>
            </w:r>
            <w:r>
              <w:rPr>
                <w:rFonts w:hint="eastAsia" w:ascii="仿宋_GB2312" w:hAnsi="宋体" w:eastAsia="仿宋_GB2312" w:cs="宋体"/>
                <w:color w:val="000000"/>
                <w:kern w:val="0"/>
                <w:sz w:val="22"/>
                <w:szCs w:val="22"/>
              </w:rPr>
              <w:t>　</w:t>
            </w:r>
          </w:p>
        </w:tc>
        <w:tc>
          <w:tcPr>
            <w:tcW w:w="25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eastAsia="仿宋_GB2312"/>
                <w:color w:val="000000"/>
                <w:sz w:val="20"/>
                <w:szCs w:val="20"/>
              </w:rPr>
              <w:t>474.46</w:t>
            </w:r>
            <w:r>
              <w:rPr>
                <w:rFonts w:hint="eastAsia" w:ascii="宋体" w:hAnsi="宋体" w:cs="宋体"/>
                <w:color w:val="000000"/>
                <w:kern w:val="0"/>
                <w:sz w:val="22"/>
                <w:szCs w:val="22"/>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eastAsia="仿宋_GB2312"/>
                <w:color w:val="000000"/>
                <w:sz w:val="20"/>
                <w:szCs w:val="20"/>
              </w:rPr>
              <w:t>474.46</w:t>
            </w:r>
          </w:p>
        </w:tc>
        <w:tc>
          <w:tcPr>
            <w:tcW w:w="144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9214" w:type="dxa"/>
        <w:tblInd w:w="-34" w:type="dxa"/>
        <w:tblLayout w:type="fixed"/>
        <w:tblCellMar>
          <w:top w:w="0" w:type="dxa"/>
          <w:left w:w="108" w:type="dxa"/>
          <w:bottom w:w="0" w:type="dxa"/>
          <w:right w:w="108" w:type="dxa"/>
        </w:tblCellMar>
      </w:tblPr>
      <w:tblGrid>
        <w:gridCol w:w="568"/>
        <w:gridCol w:w="492"/>
        <w:gridCol w:w="417"/>
        <w:gridCol w:w="2510"/>
        <w:gridCol w:w="660"/>
        <w:gridCol w:w="1024"/>
        <w:gridCol w:w="216"/>
        <w:gridCol w:w="1626"/>
        <w:gridCol w:w="1701"/>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390" w:hRule="atLeast"/>
        </w:trPr>
        <w:tc>
          <w:tcPr>
            <w:tcW w:w="3987"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民丰县司法局 </w:t>
            </w:r>
          </w:p>
        </w:tc>
        <w:tc>
          <w:tcPr>
            <w:tcW w:w="660"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987"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tblPrEx>
          <w:tblCellMar>
            <w:top w:w="0" w:type="dxa"/>
            <w:left w:w="108" w:type="dxa"/>
            <w:bottom w:w="0" w:type="dxa"/>
            <w:right w:w="108" w:type="dxa"/>
          </w:tblCellMar>
        </w:tblPrEx>
        <w:trPr>
          <w:trHeight w:val="465" w:hRule="atLeast"/>
        </w:trPr>
        <w:tc>
          <w:tcPr>
            <w:tcW w:w="1477"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510"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92"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1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68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r>
              <w:rPr>
                <w:rFonts w:ascii="仿宋_GB2312" w:hAnsi="宋体" w:eastAsia="仿宋_GB2312" w:cs="宋体"/>
                <w:b/>
                <w:color w:val="000000"/>
                <w:kern w:val="0"/>
                <w:sz w:val="20"/>
                <w:szCs w:val="20"/>
              </w:rPr>
              <w:t>204</w:t>
            </w:r>
          </w:p>
        </w:tc>
        <w:tc>
          <w:tcPr>
            <w:tcW w:w="49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公共安全支出</w:t>
            </w: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70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06</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ascii="仿宋_GB2312" w:hAnsi="宋体" w:eastAsia="仿宋_GB2312" w:cs="宋体"/>
                <w:color w:val="000000"/>
                <w:sz w:val="20"/>
                <w:szCs w:val="20"/>
              </w:rPr>
              <w:t>司法</w:t>
            </w:r>
            <w:r>
              <w:rPr>
                <w:rFonts w:hint="eastAsia" w:ascii="仿宋_GB2312" w:eastAsia="仿宋_GB2312"/>
                <w:color w:val="00000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204</w:t>
            </w:r>
          </w:p>
        </w:tc>
        <w:tc>
          <w:tcPr>
            <w:tcW w:w="49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06</w:t>
            </w:r>
          </w:p>
        </w:tc>
        <w:tc>
          <w:tcPr>
            <w:tcW w:w="41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01</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行政运行　</w:t>
            </w: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409.53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r>
              <w:rPr>
                <w:rFonts w:hint="eastAsia" w:ascii="仿宋_GB2312" w:hAnsi="宋体" w:eastAsia="仿宋_GB2312" w:cs="宋体"/>
                <w:kern w:val="0"/>
                <w:sz w:val="18"/>
                <w:szCs w:val="18"/>
              </w:rPr>
              <w:t>社会保障和就业支出</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05</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行政事业单位养老支出</w:t>
            </w: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208</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05</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机关事业单位基本养老保险</w:t>
            </w: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仿宋_GB2312" w:eastAsia="仿宋_GB2312"/>
                <w:color w:val="000000"/>
                <w:sz w:val="20"/>
                <w:szCs w:val="20"/>
              </w:rPr>
              <w:t>64.93</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684"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42" w:type="dxa"/>
            <w:gridSpan w:val="2"/>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6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51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rPr>
              <w:t>474.46</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eastAsia="仿宋_GB2312"/>
                <w:color w:val="000000"/>
                <w:sz w:val="20"/>
                <w:szCs w:val="20"/>
              </w:rPr>
              <w:t>474.46</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9328" w:type="dxa"/>
        <w:tblInd w:w="-148" w:type="dxa"/>
        <w:tblLayout w:type="fixed"/>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民丰县司法局 </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基本工资</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82.19</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82.19</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230.81</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230.81</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03</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奖金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6.85</w:t>
            </w:r>
          </w:p>
        </w:tc>
        <w:tc>
          <w:tcPr>
            <w:tcW w:w="1701" w:type="dxa"/>
            <w:gridSpan w:val="2"/>
            <w:tcBorders>
              <w:top w:val="nil"/>
              <w:left w:val="nil"/>
              <w:bottom w:val="single" w:color="auto" w:sz="4" w:space="0"/>
              <w:right w:val="single" w:color="auto" w:sz="4" w:space="0"/>
            </w:tcBorders>
            <w:vAlign w:val="center"/>
          </w:tcPr>
          <w:p>
            <w:pPr>
              <w:widowControl/>
              <w:ind w:right="147" w:rightChars="70"/>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6.85</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机关事业单位基本养老保险缴费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64.93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64.93</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17.76</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17.76</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11</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公务员医疗保险缴费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12.27</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12.27</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其他社会保险缴费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5.68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5.68</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27.83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27.83</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取暖费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3.18</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ind w:firstLine="200" w:firstLineChars="1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3.18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工会经费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4.89</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4.89</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nil"/>
              <w:left w:val="nil"/>
              <w:bottom w:val="single" w:color="auto" w:sz="4" w:space="0"/>
              <w:right w:val="single" w:color="auto" w:sz="4" w:space="0"/>
            </w:tcBorders>
            <w:vAlign w:val="center"/>
          </w:tcPr>
          <w:p>
            <w:pPr>
              <w:widowControl/>
              <w:ind w:firstLine="200" w:firstLineChars="100"/>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福利费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4.4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 xml:space="preserve">  </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4.4</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办公费</w:t>
            </w:r>
          </w:p>
        </w:tc>
        <w:tc>
          <w:tcPr>
            <w:tcW w:w="1701" w:type="dxa"/>
            <w:gridSpan w:val="2"/>
            <w:tcBorders>
              <w:top w:val="nil"/>
              <w:left w:val="nil"/>
              <w:bottom w:val="single" w:color="auto" w:sz="4" w:space="0"/>
              <w:right w:val="single" w:color="auto" w:sz="4" w:space="0"/>
            </w:tcBorders>
            <w:vAlign w:val="center"/>
          </w:tcPr>
          <w:p>
            <w:pPr>
              <w:widowControl/>
              <w:ind w:firstLine="600" w:firstLineChars="300"/>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7</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仿宋" w:hAnsi="仿宋" w:eastAsia="仿宋" w:cs="宋体"/>
                <w:color w:val="000000"/>
                <w:kern w:val="0"/>
                <w:sz w:val="20"/>
                <w:szCs w:val="20"/>
              </w:rPr>
            </w:pPr>
            <w:r>
              <w:rPr>
                <w:rFonts w:hint="eastAsia" w:ascii="仿宋" w:hAnsi="仿宋" w:eastAsia="仿宋" w:cs="宋体"/>
                <w:color w:val="000000"/>
                <w:kern w:val="0"/>
                <w:sz w:val="20"/>
                <w:szCs w:val="20"/>
              </w:rPr>
              <w:t xml:space="preserve">　 </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退休费</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6.23</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6.23</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303</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05</w:t>
            </w:r>
          </w:p>
        </w:tc>
        <w:tc>
          <w:tcPr>
            <w:tcW w:w="289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生活补助</w:t>
            </w:r>
          </w:p>
        </w:tc>
        <w:tc>
          <w:tcPr>
            <w:tcW w:w="1701" w:type="dxa"/>
            <w:gridSpan w:val="2"/>
            <w:tcBorders>
              <w:top w:val="nil"/>
              <w:left w:val="nil"/>
              <w:bottom w:val="single" w:color="auto" w:sz="4" w:space="0"/>
              <w:right w:val="single" w:color="auto" w:sz="4" w:space="0"/>
            </w:tcBorders>
            <w:vAlign w:val="center"/>
          </w:tcPr>
          <w:p>
            <w:pPr>
              <w:widowControl/>
              <w:ind w:firstLine="600" w:firstLineChars="300"/>
              <w:rPr>
                <w:rFonts w:ascii="仿宋" w:hAnsi="仿宋" w:eastAsia="仿宋" w:cs="宋体"/>
                <w:color w:val="000000"/>
                <w:kern w:val="0"/>
                <w:sz w:val="20"/>
                <w:szCs w:val="20"/>
              </w:rPr>
            </w:pPr>
            <w:r>
              <w:rPr>
                <w:rFonts w:hint="eastAsia" w:ascii="仿宋" w:hAnsi="仿宋" w:eastAsia="仿宋" w:cs="宋体"/>
                <w:color w:val="000000"/>
                <w:kern w:val="0"/>
                <w:sz w:val="20"/>
                <w:szCs w:val="20"/>
              </w:rPr>
              <w:t>0.44</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0.44</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474.46</w:t>
            </w:r>
          </w:p>
        </w:tc>
        <w:tc>
          <w:tcPr>
            <w:tcW w:w="1701" w:type="dxa"/>
            <w:gridSpan w:val="2"/>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454.99</w:t>
            </w:r>
          </w:p>
        </w:tc>
        <w:tc>
          <w:tcPr>
            <w:tcW w:w="1701" w:type="dxa"/>
            <w:tcBorders>
              <w:top w:val="nil"/>
              <w:left w:val="nil"/>
              <w:bottom w:val="single" w:color="auto" w:sz="4" w:space="0"/>
              <w:right w:val="single" w:color="auto" w:sz="4" w:space="0"/>
            </w:tcBorders>
            <w:vAlign w:val="center"/>
          </w:tcPr>
          <w:p>
            <w:pPr>
              <w:widowControl/>
              <w:jc w:val="left"/>
              <w:rPr>
                <w:rFonts w:ascii="仿宋" w:hAnsi="仿宋" w:eastAsia="仿宋" w:cs="宋体"/>
                <w:color w:val="000000"/>
                <w:kern w:val="0"/>
                <w:sz w:val="20"/>
                <w:szCs w:val="20"/>
              </w:rPr>
            </w:pPr>
            <w:r>
              <w:rPr>
                <w:rFonts w:hint="eastAsia" w:ascii="仿宋" w:hAnsi="仿宋" w:eastAsia="仿宋" w:cs="宋体"/>
                <w:color w:val="000000"/>
                <w:kern w:val="0"/>
                <w:sz w:val="20"/>
                <w:szCs w:val="20"/>
              </w:rPr>
              <w:t>　19.47</w:t>
            </w:r>
          </w:p>
        </w:tc>
      </w:tr>
    </w:tbl>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540" w:type="dxa"/>
        <w:tblInd w:w="-360" w:type="dxa"/>
        <w:tblLayout w:type="fixed"/>
        <w:tblCellMar>
          <w:top w:w="0" w:type="dxa"/>
          <w:left w:w="108" w:type="dxa"/>
          <w:bottom w:w="0" w:type="dxa"/>
          <w:right w:w="108" w:type="dxa"/>
        </w:tblCellMar>
      </w:tblPr>
      <w:tblGrid>
        <w:gridCol w:w="8"/>
        <w:gridCol w:w="389"/>
        <w:gridCol w:w="397"/>
        <w:gridCol w:w="397"/>
        <w:gridCol w:w="851"/>
        <w:gridCol w:w="1456"/>
        <w:gridCol w:w="750"/>
        <w:gridCol w:w="110"/>
        <w:gridCol w:w="459"/>
        <w:gridCol w:w="536"/>
        <w:gridCol w:w="652"/>
        <w:gridCol w:w="652"/>
        <w:gridCol w:w="378"/>
        <w:gridCol w:w="200"/>
        <w:gridCol w:w="419"/>
        <w:gridCol w:w="578"/>
        <w:gridCol w:w="420"/>
        <w:gridCol w:w="420"/>
        <w:gridCol w:w="389"/>
        <w:gridCol w:w="79"/>
      </w:tblGrid>
      <w:tr>
        <w:tblPrEx>
          <w:tblCellMar>
            <w:top w:w="0" w:type="dxa"/>
            <w:left w:w="108" w:type="dxa"/>
            <w:bottom w:w="0" w:type="dxa"/>
            <w:right w:w="108" w:type="dxa"/>
          </w:tblCellMar>
        </w:tblPrEx>
        <w:trPr>
          <w:gridBefore w:val="1"/>
          <w:gridAfter w:val="1"/>
          <w:wBefore w:w="8" w:type="dxa"/>
          <w:wAfter w:w="79" w:type="dxa"/>
          <w:trHeight w:val="375" w:hRule="atLeast"/>
        </w:trPr>
        <w:tc>
          <w:tcPr>
            <w:tcW w:w="9453" w:type="dxa"/>
            <w:gridSpan w:val="18"/>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8" w:type="dxa"/>
          <w:wAfter w:w="79" w:type="dxa"/>
          <w:trHeight w:val="405" w:hRule="atLeast"/>
        </w:trPr>
        <w:tc>
          <w:tcPr>
            <w:tcW w:w="4350"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4"/>
              </w:rPr>
              <w:t xml:space="preserve">民丰县司法局   </w:t>
            </w:r>
          </w:p>
        </w:tc>
        <w:tc>
          <w:tcPr>
            <w:tcW w:w="99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91"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rFonts w:ascii="Calibri" w:hAnsi="Calibri"/>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569"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46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397"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397"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69"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6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397"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569"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6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97"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397"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Theme="majorEastAsia" w:hAnsiTheme="majorEastAsia" w:eastAsiaTheme="majorEastAsia"/>
                <w:kern w:val="0"/>
                <w:sz w:val="20"/>
                <w:szCs w:val="20"/>
              </w:rPr>
              <w:t>合计</w:t>
            </w:r>
          </w:p>
        </w:tc>
        <w:tc>
          <w:tcPr>
            <w:tcW w:w="750" w:type="dxa"/>
            <w:vAlign w:val="center"/>
          </w:tcPr>
          <w:p>
            <w:pPr>
              <w:widowControl/>
              <w:jc w:val="center"/>
              <w:outlineLvl w:val="1"/>
              <w:rPr>
                <w:rFonts w:ascii="仿宋_GB2312" w:hAnsi="宋体" w:eastAsia="仿宋_GB2312"/>
                <w:kern w:val="0"/>
                <w:szCs w:val="21"/>
              </w:rPr>
            </w:pPr>
          </w:p>
        </w:tc>
        <w:tc>
          <w:tcPr>
            <w:tcW w:w="569"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6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备注：本单位无项目预算安排</w:t>
      </w:r>
    </w:p>
    <w:p>
      <w:pPr>
        <w:widowControl/>
        <w:jc w:val="left"/>
        <w:outlineLvl w:val="1"/>
        <w:rPr>
          <w:rFonts w:hint="eastAsia"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pPr>
        <w:widowControl/>
        <w:jc w:val="left"/>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center"/>
        <w:outlineLvl w:val="1"/>
        <w:rPr>
          <w:rFonts w:ascii="仿宋_GB2312" w:hAnsi="宋体" w:eastAsia="仿宋_GB2312"/>
          <w:b/>
          <w:kern w:val="0"/>
          <w:sz w:val="32"/>
          <w:szCs w:val="32"/>
        </w:rPr>
      </w:pP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编制单位：民丰县司法局                                       单位：万元</w:t>
      </w:r>
    </w:p>
    <w:tbl>
      <w:tblPr>
        <w:tblStyle w:val="7"/>
        <w:tblW w:w="9240" w:type="dxa"/>
        <w:tblInd w:w="-173" w:type="dxa"/>
        <w:tblLayout w:type="fixed"/>
        <w:tblCellMar>
          <w:top w:w="0" w:type="dxa"/>
          <w:left w:w="108" w:type="dxa"/>
          <w:bottom w:w="0" w:type="dxa"/>
          <w:right w:w="108" w:type="dxa"/>
        </w:tblCellMar>
      </w:tblPr>
      <w:tblGrid>
        <w:gridCol w:w="1575"/>
        <w:gridCol w:w="1417"/>
        <w:gridCol w:w="1559"/>
        <w:gridCol w:w="1418"/>
        <w:gridCol w:w="1559"/>
        <w:gridCol w:w="1712"/>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71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7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szCs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71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kern w:val="0"/>
          <w:sz w:val="32"/>
          <w:szCs w:val="32"/>
        </w:rPr>
      </w:pPr>
      <w:r>
        <w:rPr>
          <w:rFonts w:ascii="仿宋_GB2312" w:hAnsi="宋体" w:eastAsia="仿宋_GB2312"/>
          <w:b/>
          <w:kern w:val="0"/>
          <w:sz w:val="32"/>
          <w:szCs w:val="32"/>
        </w:rPr>
        <w:t>备注：本单位无一般公共预算“三公”经费支出</w:t>
      </w: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编制单位：民丰县司法局                                    单位：万元</w:t>
      </w:r>
    </w:p>
    <w:tbl>
      <w:tblPr>
        <w:tblStyle w:val="7"/>
        <w:tblW w:w="9214" w:type="dxa"/>
        <w:tblInd w:w="-34" w:type="dxa"/>
        <w:tblLayout w:type="fixed"/>
        <w:tblCellMar>
          <w:top w:w="0" w:type="dxa"/>
          <w:left w:w="108" w:type="dxa"/>
          <w:bottom w:w="0" w:type="dxa"/>
          <w:right w:w="108" w:type="dxa"/>
        </w:tblCellMar>
      </w:tblPr>
      <w:tblGrid>
        <w:gridCol w:w="585"/>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395"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4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outlineLvl w:val="1"/>
        <w:rPr>
          <w:rFonts w:ascii="仿宋_GB2312" w:hAnsi="宋体" w:eastAsia="仿宋_GB2312"/>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r>
        <w:rPr>
          <w:rFonts w:hint="eastAsia" w:ascii="仿宋_GB2312" w:hAnsi="宋体" w:eastAsia="仿宋_GB2312"/>
          <w:b/>
          <w:kern w:val="0"/>
          <w:sz w:val="32"/>
          <w:szCs w:val="32"/>
        </w:rPr>
        <w:t>备注：本单位无政府性基金预算支出。</w:t>
      </w:r>
    </w:p>
    <w:p>
      <w:pPr>
        <w:spacing w:line="560" w:lineRule="exact"/>
        <w:jc w:val="center"/>
        <w:rPr>
          <w:rFonts w:ascii="黑体" w:hAnsi="黑体" w:eastAsia="黑体"/>
          <w:kern w:val="0"/>
          <w:sz w:val="32"/>
          <w:szCs w:val="32"/>
        </w:rPr>
      </w:pPr>
      <w:r>
        <w:rPr>
          <w:rFonts w:hint="eastAsia" w:ascii="黑体" w:hAnsi="黑体" w:eastAsia="黑体"/>
          <w:kern w:val="0"/>
          <w:sz w:val="32"/>
          <w:szCs w:val="32"/>
        </w:rPr>
        <w:t>第三部分  2020年部门预算情况说明</w:t>
      </w:r>
    </w:p>
    <w:p>
      <w:pPr>
        <w:spacing w:line="560" w:lineRule="exact"/>
        <w:jc w:val="center"/>
        <w:rPr>
          <w:rFonts w:ascii="黑体" w:hAnsi="黑体" w:eastAsia="黑体"/>
          <w:kern w:val="0"/>
          <w:sz w:val="32"/>
          <w:szCs w:val="32"/>
        </w:rPr>
      </w:pPr>
    </w:p>
    <w:p>
      <w:pPr>
        <w:spacing w:line="560" w:lineRule="exact"/>
        <w:ind w:firstLine="640" w:firstLineChars="200"/>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关于民丰县司法局2020年收支预算情况的总体说明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按照全口径预算的原则，民丰县司法局2020年所有收入和支出均纳入部门预算管理。收支总预算 474.46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支出预算包括：公共安全支出、社会保障和就业支出。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二、关于民丰县司法局2020年收入预算情况说明</w:t>
      </w:r>
    </w:p>
    <w:p>
      <w:pPr>
        <w:spacing w:line="560" w:lineRule="exact"/>
        <w:ind w:firstLine="640" w:firstLineChars="200"/>
        <w:rPr>
          <w:rFonts w:ascii="仿宋_GB2312" w:hAnsi="宋体" w:eastAsia="仿宋_GB2312" w:cs="宋体"/>
          <w:kern w:val="0"/>
          <w:sz w:val="32"/>
          <w:szCs w:val="32"/>
        </w:rPr>
      </w:pPr>
      <w:r>
        <w:rPr>
          <w:rFonts w:hint="eastAsia" w:ascii="仿宋" w:hAnsi="仿宋" w:eastAsia="仿宋" w:cs="宋体"/>
          <w:kern w:val="0"/>
          <w:sz w:val="32"/>
          <w:szCs w:val="32"/>
        </w:rPr>
        <w:t>民丰县司法局</w:t>
      </w:r>
      <w:r>
        <w:rPr>
          <w:rFonts w:hint="eastAsia" w:ascii="仿宋_GB2312" w:hAnsi="宋体" w:eastAsia="仿宋_GB2312" w:cs="宋体"/>
          <w:kern w:val="0"/>
          <w:sz w:val="32"/>
          <w:szCs w:val="32"/>
        </w:rPr>
        <w:t>收入预算 474.46 万元，其中：</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cs="宋体"/>
          <w:kern w:val="0"/>
          <w:sz w:val="32"/>
          <w:szCs w:val="32"/>
          <w:lang w:val="en-US" w:eastAsia="zh-CN"/>
        </w:rPr>
        <w:t>474.46</w:t>
      </w:r>
      <w:r>
        <w:rPr>
          <w:rFonts w:hint="eastAsia" w:ascii="仿宋_GB2312" w:hAnsi="宋体" w:eastAsia="仿宋_GB2312" w:cs="宋体"/>
          <w:kern w:val="0"/>
          <w:sz w:val="32"/>
          <w:szCs w:val="32"/>
        </w:rPr>
        <w:t>万元，占</w:t>
      </w:r>
      <w:r>
        <w:rPr>
          <w:rFonts w:hint="eastAsia" w:ascii="仿宋_GB2312" w:hAnsi="宋体" w:eastAsia="仿宋_GB2312" w:cs="宋体"/>
          <w:kern w:val="0"/>
          <w:sz w:val="32"/>
          <w:szCs w:val="32"/>
          <w:lang w:val="en-US" w:eastAsia="zh-CN"/>
        </w:rPr>
        <w:t>100</w:t>
      </w:r>
      <w:r>
        <w:rPr>
          <w:rFonts w:hint="eastAsia" w:ascii="仿宋_GB2312" w:hAnsi="宋体" w:eastAsia="仿宋_GB2312" w:cs="宋体"/>
          <w:kern w:val="0"/>
          <w:sz w:val="32"/>
          <w:szCs w:val="32"/>
        </w:rPr>
        <w:t xml:space="preserve"> %，比上年增加40.03 万元，主要原因是人员工资，住房公积金，医疗，社保金及机关事业单位基本养老金基数比2019年上调；       </w:t>
      </w:r>
    </w:p>
    <w:p>
      <w:pPr>
        <w:widowControl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三、关于民丰县司法局单位2020年支出预算情况说明</w:t>
      </w:r>
    </w:p>
    <w:p>
      <w:pPr>
        <w:spacing w:line="560" w:lineRule="exact"/>
        <w:ind w:firstLine="640" w:firstLineChars="200"/>
        <w:rPr>
          <w:rFonts w:ascii="仿宋_GB2312" w:hAnsi="宋体" w:eastAsia="仿宋_GB2312" w:cs="宋体"/>
          <w:kern w:val="0"/>
          <w:sz w:val="32"/>
          <w:szCs w:val="32"/>
        </w:rPr>
      </w:pPr>
      <w:r>
        <w:rPr>
          <w:rFonts w:hint="eastAsia" w:ascii="仿宋" w:hAnsi="仿宋" w:eastAsia="仿宋" w:cs="宋体"/>
          <w:kern w:val="0"/>
          <w:sz w:val="32"/>
          <w:szCs w:val="32"/>
        </w:rPr>
        <w:t>民丰县司法局</w:t>
      </w:r>
      <w:r>
        <w:rPr>
          <w:rFonts w:hint="eastAsia" w:ascii="仿宋_GB2312" w:hAnsi="宋体" w:eastAsia="仿宋_GB2312" w:cs="宋体"/>
          <w:kern w:val="0"/>
          <w:sz w:val="32"/>
          <w:szCs w:val="32"/>
        </w:rPr>
        <w:t>2020年支出预算 474.46万元，其中：</w:t>
      </w:r>
    </w:p>
    <w:p>
      <w:pPr>
        <w:widowControl/>
        <w:spacing w:line="56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基本支出474.46万元，占 100 %，比上年增加40.03万元，主要原因是：人员工资，住房公积金，医疗，社保金及机关事业单位基本养老金基数比上年上调。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 0万元，占 0%，比上年增加0万元，主要原因是：本年没有项目纳入预算。</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pPr>
        <w:spacing w:line="56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 xml:space="preserve">四、关于民丰县司法局2020年财政拨款收支预算情况的总体说明 </w:t>
      </w:r>
    </w:p>
    <w:p>
      <w:pPr>
        <w:spacing w:line="560" w:lineRule="exact"/>
        <w:ind w:firstLine="640" w:firstLineChars="200"/>
        <w:rPr>
          <w:rFonts w:ascii="黑体" w:hAnsi="黑体" w:eastAsia="黑体" w:cs="宋体"/>
          <w:bCs/>
          <w:kern w:val="0"/>
          <w:sz w:val="32"/>
          <w:szCs w:val="32"/>
        </w:rPr>
      </w:pPr>
      <w:r>
        <w:rPr>
          <w:rFonts w:hint="eastAsia" w:ascii="仿宋_GB2312" w:hAnsi="宋体" w:eastAsia="仿宋_GB2312" w:cs="宋体"/>
          <w:kern w:val="0"/>
          <w:sz w:val="32"/>
          <w:szCs w:val="32"/>
        </w:rPr>
        <w:t>2020年财政拨款收支总预算 474.46 万元。</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收入全部为一般公共预算拨款，无政府性基金预算拨款</w:t>
      </w:r>
      <w:r>
        <w:rPr>
          <w:rFonts w:hint="eastAsia" w:ascii="仿宋_GB2312" w:hAnsi="宋体" w:eastAsia="仿宋_GB2312" w:cs="宋体"/>
          <w:kern w:val="0"/>
          <w:sz w:val="32"/>
          <w:szCs w:val="32"/>
          <w:lang w:val="en-US" w:eastAsia="zh-CN"/>
        </w:rPr>
        <w:t>.</w:t>
      </w:r>
    </w:p>
    <w:p>
      <w:pPr>
        <w:spacing w:line="560" w:lineRule="exact"/>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支出预算包括：公共安全支出409.53万元，</w:t>
      </w:r>
      <w:r>
        <w:rPr>
          <w:rFonts w:hint="eastAsia" w:ascii="仿宋_GB2312" w:hAnsi="宋体" w:eastAsia="仿宋_GB2312" w:cs="宋体"/>
          <w:kern w:val="0"/>
          <w:sz w:val="32"/>
          <w:szCs w:val="32"/>
          <w:lang w:val="en-US" w:eastAsia="zh-CN"/>
        </w:rPr>
        <w:t>主要用于工资福利支出、对个人和家庭补助支出、商品服务支出；</w:t>
      </w:r>
      <w:r>
        <w:rPr>
          <w:rFonts w:hint="eastAsia" w:ascii="仿宋_GB2312" w:hAnsi="宋体" w:eastAsia="仿宋_GB2312" w:cs="宋体"/>
          <w:kern w:val="0"/>
          <w:sz w:val="32"/>
          <w:szCs w:val="32"/>
        </w:rPr>
        <w:t>社会保障和</w:t>
      </w:r>
      <w:r>
        <w:rPr>
          <w:rFonts w:hint="eastAsia" w:ascii="仿宋_GB2312" w:hAnsi="宋体" w:eastAsia="仿宋_GB2312" w:cs="宋体"/>
          <w:kern w:val="0"/>
          <w:sz w:val="32"/>
          <w:szCs w:val="32"/>
          <w:lang w:val="en-US" w:eastAsia="zh-CN"/>
        </w:rPr>
        <w:t>就业</w:t>
      </w:r>
      <w:bookmarkStart w:id="0" w:name="_GoBack"/>
      <w:bookmarkEnd w:id="0"/>
      <w:r>
        <w:rPr>
          <w:rFonts w:hint="eastAsia" w:ascii="仿宋_GB2312" w:hAnsi="宋体" w:eastAsia="仿宋_GB2312" w:cs="宋体"/>
          <w:kern w:val="0"/>
          <w:sz w:val="32"/>
          <w:szCs w:val="32"/>
        </w:rPr>
        <w:t>支出64.63万元</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主要用于养老保险缴费支出</w:t>
      </w:r>
      <w:r>
        <w:rPr>
          <w:rFonts w:hint="eastAsia" w:ascii="仿宋_GB2312" w:hAnsi="宋体" w:eastAsia="仿宋_GB2312" w:cs="宋体"/>
          <w:kern w:val="0"/>
          <w:sz w:val="32"/>
          <w:szCs w:val="32"/>
        </w:rPr>
        <w:t>。</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五、关于民丰县司法局2020年一般公共预算当年拨款情况说明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6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民丰县司法局2020年一般公共预算拨款基本支出    474.46万元，比上年执行数增加40.03 万元，增长9.2降 %。主要原因是：人员工资，住房公积金，医疗，社保金及机关事业单位基本养老金基数比上年上调。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6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1.公共安全（类）</w:t>
      </w:r>
      <w:r>
        <w:rPr>
          <w:rFonts w:hint="eastAsia" w:ascii="楷体_GB2312" w:eastAsia="楷体_GB2312"/>
          <w:sz w:val="32"/>
          <w:szCs w:val="32"/>
        </w:rPr>
        <w:t>409.53</w:t>
      </w:r>
      <w:r>
        <w:rPr>
          <w:rFonts w:hint="eastAsia" w:ascii="仿宋_GB2312" w:hAnsi="宋体" w:eastAsia="仿宋_GB2312" w:cs="宋体"/>
          <w:kern w:val="0"/>
          <w:sz w:val="32"/>
          <w:szCs w:val="32"/>
        </w:rPr>
        <w:t>万元，占 86.31  %。</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hint="eastAsia" w:ascii="仿宋_GB2312" w:eastAsia="仿宋_GB2312"/>
          <w:sz w:val="32"/>
          <w:szCs w:val="32"/>
        </w:rPr>
        <w:t xml:space="preserve">（类）64.93 </w:t>
      </w:r>
      <w:r>
        <w:rPr>
          <w:rFonts w:hint="eastAsia" w:ascii="仿宋_GB2312" w:hAnsi="宋体" w:eastAsia="仿宋_GB2312" w:cs="宋体"/>
          <w:kern w:val="0"/>
          <w:sz w:val="32"/>
          <w:szCs w:val="32"/>
        </w:rPr>
        <w:t>万元，占 13.69  %。</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color w:val="000000" w:themeColor="text1"/>
          <w:kern w:val="0"/>
          <w:sz w:val="32"/>
          <w:szCs w:val="32"/>
        </w:rPr>
        <w:t>1.2040601</w:t>
      </w:r>
      <w:r>
        <w:rPr>
          <w:rFonts w:ascii="仿宋_GB2312" w:hAnsi="宋体" w:eastAsia="仿宋_GB2312" w:cs="宋体"/>
          <w:color w:val="000000" w:themeColor="text1"/>
          <w:kern w:val="0"/>
          <w:sz w:val="32"/>
          <w:szCs w:val="32"/>
        </w:rPr>
        <w:t>公共安全（</w:t>
      </w:r>
      <w:r>
        <w:rPr>
          <w:rFonts w:hint="eastAsia" w:ascii="仿宋_GB2312" w:hAnsi="宋体" w:eastAsia="仿宋_GB2312" w:cs="宋体"/>
          <w:color w:val="000000" w:themeColor="text1"/>
          <w:kern w:val="0"/>
          <w:sz w:val="32"/>
          <w:szCs w:val="32"/>
        </w:rPr>
        <w:t>204</w:t>
      </w:r>
      <w:r>
        <w:rPr>
          <w:rFonts w:ascii="仿宋_GB2312" w:hAnsi="宋体" w:eastAsia="仿宋_GB2312" w:cs="宋体"/>
          <w:color w:val="000000" w:themeColor="text1"/>
          <w:kern w:val="0"/>
          <w:sz w:val="32"/>
          <w:szCs w:val="32"/>
        </w:rPr>
        <w:t>）司法（</w:t>
      </w:r>
      <w:r>
        <w:rPr>
          <w:rFonts w:hint="eastAsia" w:ascii="仿宋_GB2312" w:hAnsi="宋体" w:eastAsia="仿宋_GB2312" w:cs="宋体"/>
          <w:color w:val="000000" w:themeColor="text1"/>
          <w:kern w:val="0"/>
          <w:sz w:val="32"/>
          <w:szCs w:val="32"/>
        </w:rPr>
        <w:t>06</w:t>
      </w:r>
      <w:r>
        <w:rPr>
          <w:rFonts w:ascii="仿宋_GB2312" w:hAnsi="宋体" w:eastAsia="仿宋_GB2312" w:cs="宋体"/>
          <w:color w:val="000000" w:themeColor="text1"/>
          <w:kern w:val="0"/>
          <w:sz w:val="32"/>
          <w:szCs w:val="32"/>
        </w:rPr>
        <w:t>）行政运行（</w:t>
      </w:r>
      <w:r>
        <w:rPr>
          <w:rFonts w:hint="eastAsia" w:ascii="仿宋_GB2312" w:hAnsi="宋体" w:eastAsia="仿宋_GB2312" w:cs="宋体"/>
          <w:color w:val="000000" w:themeColor="text1"/>
          <w:kern w:val="0"/>
          <w:sz w:val="32"/>
          <w:szCs w:val="32"/>
        </w:rPr>
        <w:t>01</w:t>
      </w:r>
      <w:r>
        <w:rPr>
          <w:rFonts w:ascii="仿宋_GB2312" w:hAnsi="宋体" w:eastAsia="仿宋_GB2312" w:cs="宋体"/>
          <w:color w:val="000000" w:themeColor="text1"/>
          <w:kern w:val="0"/>
          <w:sz w:val="32"/>
          <w:szCs w:val="32"/>
        </w:rPr>
        <w:t>）:</w:t>
      </w:r>
      <w:r>
        <w:rPr>
          <w:rFonts w:hint="eastAsia" w:ascii="仿宋_GB2312" w:hAnsi="宋体" w:eastAsia="仿宋_GB2312" w:cs="宋体"/>
          <w:color w:val="000000" w:themeColor="text1"/>
          <w:kern w:val="0"/>
          <w:sz w:val="32"/>
          <w:szCs w:val="32"/>
        </w:rPr>
        <w:t>2020</w:t>
      </w:r>
      <w:r>
        <w:rPr>
          <w:rFonts w:ascii="仿宋_GB2312" w:hAnsi="宋体" w:eastAsia="仿宋_GB2312" w:cs="宋体"/>
          <w:color w:val="000000" w:themeColor="text1"/>
          <w:kern w:val="0"/>
          <w:sz w:val="32"/>
          <w:szCs w:val="32"/>
        </w:rPr>
        <w:t>年预算数为</w:t>
      </w:r>
      <w:r>
        <w:rPr>
          <w:rFonts w:hint="eastAsia" w:ascii="仿宋_GB2312" w:hAnsi="宋体" w:eastAsia="仿宋_GB2312" w:cs="宋体"/>
          <w:color w:val="000000" w:themeColor="text1"/>
          <w:kern w:val="0"/>
          <w:sz w:val="32"/>
          <w:szCs w:val="32"/>
        </w:rPr>
        <w:t xml:space="preserve">409.53 </w:t>
      </w:r>
      <w:r>
        <w:rPr>
          <w:rFonts w:ascii="仿宋_GB2312" w:hAnsi="宋体" w:eastAsia="仿宋_GB2312" w:cs="宋体"/>
          <w:color w:val="000000" w:themeColor="text1"/>
          <w:kern w:val="0"/>
          <w:sz w:val="32"/>
          <w:szCs w:val="32"/>
        </w:rPr>
        <w:t>万元，</w:t>
      </w:r>
      <w:r>
        <w:rPr>
          <w:rFonts w:hint="eastAsia" w:ascii="仿宋_GB2312" w:hAnsi="宋体" w:eastAsia="仿宋_GB2312" w:cs="宋体"/>
          <w:color w:val="000000" w:themeColor="text1"/>
          <w:kern w:val="0"/>
          <w:sz w:val="32"/>
          <w:szCs w:val="32"/>
        </w:rPr>
        <w:t>比上年执行数增加40.03万元，增长9.2  %，主要原因是：</w:t>
      </w:r>
      <w:r>
        <w:rPr>
          <w:rFonts w:hint="eastAsia" w:ascii="仿宋_GB2312" w:hAnsi="宋体" w:eastAsia="仿宋_GB2312" w:cs="宋体"/>
          <w:kern w:val="0"/>
          <w:sz w:val="32"/>
          <w:szCs w:val="32"/>
        </w:rPr>
        <w:t>人员工资，住房公积金，医疗，社保金及机关事业单位基本养老金基数比上年上调。</w:t>
      </w:r>
    </w:p>
    <w:p>
      <w:pPr>
        <w:widowControl/>
        <w:spacing w:line="560" w:lineRule="exact"/>
        <w:ind w:firstLine="640" w:firstLineChars="200"/>
        <w:jc w:val="left"/>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2080505社会保障和就业支出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208</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05</w:t>
      </w:r>
      <w:r>
        <w:rPr>
          <w:rFonts w:ascii="仿宋_GB2312" w:hAnsi="宋体" w:eastAsia="仿宋_GB2312" w:cs="宋体"/>
          <w:kern w:val="0"/>
          <w:sz w:val="32"/>
          <w:szCs w:val="32"/>
        </w:rPr>
        <w:t>）</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05</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 xml:space="preserve"> 64.93 </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比上年执行数增加19.81    万元，增长43.96 %，主要原因是：人员增加，住房公积金，医疗，社保金及机关事业单位基本养老金基数比上年上调。</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六、关于民丰县司法局2020年一般公共预算基本支出情况说明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民丰县司法局2020年一般公共预算基本支出    474.46万元， 其中：</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人员经费454.99 万元，主要包括：基本工资、津贴补贴、奖金、机关事业单位基本养老保险缴费、职工基本医疗保险缴费、公务员医疗补助缴费、其他社会保障缴费、住房公积金、退休费、生活补助、其他对个人和家庭的补助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 19.47 万元，主要包括：办公费</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工会经费、福利费等。</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七、关于民丰县司法局2020年项目支出情况说明</w:t>
      </w:r>
    </w:p>
    <w:p>
      <w:p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本单位2020年无项目支出</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八、关于民丰县司法局2020年一般公共预算“三公”经费预算情况说明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民丰县司法局2020年“三公”经费财政拨款预算数为    0万元，其中：因公出国（境）费  0 万元，公务用车购置0 万元，公务用车运行费 0 万元，公务接待费0 万元。</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 万元，其中：因公出国（境）费增加0 万元，主要原因是：没有做三公经费预算 ；公务用车购置费为0万元，未安排预算；公务用车运行费增加0万元，主要原因是：未安排预算  ；公务接待费增加0万元，主要原因是：未安排预算。</w:t>
      </w: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九、关于民丰县司法局2020年政府性基金预算拨款情况说明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民丰县司法局2020年没有使用政府性基金预算拨款安排的支出，政府性基金预算支出情况表为空表。</w:t>
      </w:r>
    </w:p>
    <w:p>
      <w:pPr>
        <w:spacing w:line="560" w:lineRule="exact"/>
        <w:ind w:firstLine="643" w:firstLineChars="200"/>
        <w:rPr>
          <w:rFonts w:ascii="仿宋_GB2312" w:hAnsi="宋体" w:eastAsia="仿宋_GB2312" w:cs="宋体"/>
          <w:b/>
          <w:kern w:val="0"/>
          <w:sz w:val="32"/>
          <w:szCs w:val="32"/>
          <w:highlight w:val="yellow"/>
        </w:rPr>
      </w:pPr>
    </w:p>
    <w:p>
      <w:pPr>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2020年，民丰县司法局本级及下属0家行政单位和0家事业单位的机关运行经费财政拨款预算 </w:t>
      </w:r>
      <w:r>
        <w:rPr>
          <w:rFonts w:hint="eastAsia" w:ascii="仿宋_GB2312" w:hAnsi="宋体" w:eastAsia="仿宋_GB2312" w:cs="宋体"/>
          <w:kern w:val="0"/>
          <w:sz w:val="32"/>
          <w:szCs w:val="32"/>
          <w:lang w:val="en-US" w:eastAsia="zh-CN"/>
        </w:rPr>
        <w:t>19.47</w:t>
      </w:r>
      <w:r>
        <w:rPr>
          <w:rFonts w:hint="eastAsia" w:ascii="仿宋_GB2312" w:hAnsi="宋体" w:eastAsia="仿宋_GB2312" w:cs="宋体"/>
          <w:kern w:val="0"/>
          <w:sz w:val="32"/>
          <w:szCs w:val="32"/>
        </w:rPr>
        <w:t>万元，比上年预算增加7万元，增长</w:t>
      </w:r>
      <w:r>
        <w:rPr>
          <w:rFonts w:hint="eastAsia" w:ascii="仿宋_GB2312" w:hAnsi="宋体" w:eastAsia="仿宋_GB2312" w:cs="宋体"/>
          <w:kern w:val="0"/>
          <w:sz w:val="32"/>
          <w:szCs w:val="32"/>
          <w:lang w:val="en-US" w:eastAsia="zh-CN"/>
        </w:rPr>
        <w:t>56.13</w:t>
      </w:r>
      <w:r>
        <w:rPr>
          <w:rFonts w:hint="eastAsia" w:ascii="仿宋_GB2312" w:hAnsi="宋体" w:eastAsia="仿宋_GB2312" w:cs="宋体"/>
          <w:kern w:val="0"/>
          <w:sz w:val="32"/>
          <w:szCs w:val="32"/>
        </w:rPr>
        <w:t xml:space="preserve"> %。主要原因是：公证处公证费收入增加。</w:t>
      </w:r>
    </w:p>
    <w:p>
      <w:pPr>
        <w:spacing w:line="560" w:lineRule="exact"/>
        <w:ind w:firstLine="643" w:firstLineChars="200"/>
        <w:rPr>
          <w:rFonts w:ascii="楷体_GB2312" w:hAnsi="宋体" w:eastAsia="楷体_GB2312" w:cs="宋体"/>
          <w:b/>
          <w:kern w:val="0"/>
          <w:sz w:val="32"/>
          <w:szCs w:val="32"/>
          <w:highlight w:val="yellow"/>
        </w:rPr>
      </w:pPr>
      <w:r>
        <w:rPr>
          <w:rFonts w:hint="eastAsia" w:ascii="楷体_GB2312" w:hAnsi="宋体" w:eastAsia="楷体_GB2312" w:cs="宋体"/>
          <w:b/>
          <w:kern w:val="0"/>
          <w:sz w:val="32"/>
          <w:szCs w:val="32"/>
        </w:rPr>
        <w:t>（二）政府采购情况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2020年，民丰县司法局及下属单位政府采购预算 0 万元，其中：政府采购货物预算 0 万元，政府采购工程预算0     万元，政府采购服务预算 0 万元。</w:t>
      </w:r>
    </w:p>
    <w:p>
      <w:pPr>
        <w:spacing w:line="560" w:lineRule="exact"/>
        <w:ind w:firstLine="640" w:firstLineChars="200"/>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2020年度本部门面向中小企业预留政府采购项目预算金额0万元，其中：面向小微企业预留政府采购项目预算金额0万元。</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截至2019年底，民丰县司法局及下属各预算单位占用使用国有资产总体情况为：</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3272.4平方米，价值468.33万元。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13辆，价值106.57万元；其中：一般公务用车  9辆，价值76.44万元；执法执勤用车 4辆，价值30.13 万元；其他车辆 0辆，价值0万元。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3.办公家具价值11.26万元。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 48.72万元。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2020年部门预算未安排购置车辆经费（或安排购置车辆经费0万元），安排购置50万元以上大型设备 0台（套），单位价值100万元以上大型设备 0台（套）</w:t>
      </w:r>
    </w:p>
    <w:p>
      <w:pPr>
        <w:spacing w:line="560" w:lineRule="exact"/>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  0 个，涉及预算金额  0  万元。具体情况见下表（按项目分别填报）：</w:t>
      </w:r>
    </w:p>
    <w:p>
      <w:pPr>
        <w:widowControl/>
        <w:spacing w:line="600" w:lineRule="exact"/>
        <w:rPr>
          <w:rFonts w:ascii="仿宋_GB2312" w:hAnsi="宋体" w:eastAsia="仿宋_GB2312" w:cs="宋体"/>
          <w:kern w:val="0"/>
          <w:sz w:val="32"/>
          <w:szCs w:val="32"/>
        </w:rPr>
        <w:sectPr>
          <w:pgSz w:w="11906" w:h="16838"/>
          <w:pgMar w:top="1440" w:right="1800" w:bottom="1440" w:left="1800" w:header="851" w:footer="992" w:gutter="0"/>
          <w:pgNumType w:fmt="numberInDash" w:start="24"/>
          <w:cols w:space="720"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rPr>
          <w:trHeight w:val="406" w:hRule="atLeast"/>
        </w:trPr>
        <w:tc>
          <w:tcPr>
            <w:tcW w:w="13973" w:type="dxa"/>
            <w:gridSpan w:val="13"/>
            <w:tcBorders>
              <w:top w:val="nil"/>
              <w:left w:val="nil"/>
              <w:bottom w:val="nil"/>
              <w:right w:val="nil"/>
            </w:tcBorders>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rPr>
          <w:trHeight w:val="271" w:hRule="atLeast"/>
        </w:trPr>
        <w:tc>
          <w:tcPr>
            <w:tcW w:w="2195" w:type="dxa"/>
            <w:tcBorders>
              <w:top w:val="nil"/>
              <w:left w:val="nil"/>
              <w:bottom w:val="nil"/>
              <w:right w:val="nil"/>
            </w:tcBorders>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323" w:type="dxa"/>
            <w:tcBorders>
              <w:top w:val="nil"/>
              <w:left w:val="nil"/>
              <w:bottom w:val="nil"/>
              <w:right w:val="nil"/>
            </w:tcBorders>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c>
          <w:tcPr>
            <w:tcW w:w="249" w:type="dxa"/>
            <w:tcBorders>
              <w:top w:val="nil"/>
              <w:left w:val="nil"/>
              <w:bottom w:val="nil"/>
              <w:right w:val="nil"/>
            </w:tcBorders>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XX部门</w:t>
            </w:r>
          </w:p>
        </w:tc>
        <w:tc>
          <w:tcPr>
            <w:tcW w:w="192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pgNumType w:fmt="numberInDash" w:start="32"/>
          <w:cols w:space="720" w:num="1"/>
          <w:docGrid w:type="lines" w:linePitch="312" w:charSpace="0"/>
        </w:sectPr>
      </w:pPr>
    </w:p>
    <w:p>
      <w:pPr>
        <w:widowControl/>
        <w:spacing w:line="52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tabs>
          <w:tab w:val="left" w:pos="1692"/>
        </w:tabs>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ab/>
      </w:r>
      <w:r>
        <w:rPr>
          <w:rFonts w:ascii="仿宋_GB2312" w:hAnsi="宋体" w:eastAsia="仿宋_GB2312" w:cs="宋体"/>
          <w:kern w:val="0"/>
          <w:sz w:val="32"/>
          <w:szCs w:val="32"/>
        </w:rPr>
        <w:t>无</w:t>
      </w:r>
    </w:p>
    <w:p>
      <w:pPr>
        <w:widowControl/>
        <w:spacing w:beforeLines="50" w:line="520" w:lineRule="exact"/>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beforeLines="50" w:line="520" w:lineRule="exact"/>
        <w:jc w:val="center"/>
        <w:outlineLvl w:val="1"/>
        <w:rPr>
          <w:rFonts w:ascii="黑体" w:hAnsi="黑体" w:eastAsia="黑体"/>
          <w:kern w:val="0"/>
          <w:sz w:val="32"/>
          <w:szCs w:val="32"/>
        </w:rPr>
      </w:pPr>
    </w:p>
    <w:p>
      <w:pPr>
        <w:widowControl/>
        <w:spacing w:line="52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2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2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pacing w:val="-6"/>
          <w:sz w:val="32"/>
          <w:szCs w:val="32"/>
        </w:rPr>
        <w:t>包括公共财政拨款（补助）资金、专项收入。</w:t>
      </w:r>
    </w:p>
    <w:p>
      <w:pPr>
        <w:spacing w:line="520" w:lineRule="exact"/>
        <w:ind w:firstLine="642"/>
        <w:rPr>
          <w:rFonts w:ascii="仿宋_GB2312" w:eastAsia="仿宋_GB2312"/>
          <w:sz w:val="32"/>
          <w:szCs w:val="32"/>
        </w:rPr>
      </w:pPr>
      <w:r>
        <w:rPr>
          <w:rFonts w:hint="eastAsia" w:ascii="黑体" w:hAnsi="黑体" w:eastAsia="黑体"/>
          <w:sz w:val="32"/>
          <w:szCs w:val="32"/>
        </w:rPr>
        <w:t>三、其他资金：</w:t>
      </w:r>
      <w:r>
        <w:rPr>
          <w:rFonts w:hint="eastAsia" w:ascii="仿宋_GB2312" w:eastAsia="仿宋_GB2312"/>
          <w:sz w:val="32"/>
          <w:szCs w:val="32"/>
        </w:rPr>
        <w:t>包括事业收入、经营收入、其他收入等。</w:t>
      </w:r>
    </w:p>
    <w:p>
      <w:pPr>
        <w:spacing w:line="520" w:lineRule="exact"/>
        <w:ind w:firstLine="642"/>
        <w:rPr>
          <w:rFonts w:ascii="仿宋_GB2312" w:eastAsia="仿宋_GB2312"/>
          <w:sz w:val="32"/>
          <w:szCs w:val="32"/>
        </w:rPr>
      </w:pPr>
      <w:r>
        <w:rPr>
          <w:rFonts w:hint="eastAsia" w:ascii="黑体" w:hAnsi="黑体" w:eastAsia="黑体"/>
          <w:sz w:val="32"/>
          <w:szCs w:val="32"/>
        </w:rPr>
        <w:t>四、基本支出：</w:t>
      </w:r>
      <w:r>
        <w:rPr>
          <w:rFonts w:hint="eastAsia" w:ascii="仿宋_GB2312" w:eastAsia="仿宋_GB2312"/>
          <w:sz w:val="32"/>
          <w:szCs w:val="32"/>
        </w:rPr>
        <w:t>包括人员经费、商品和服务支出（定额）。其中，人员经费包括工资福利支出、对个人和家庭的补助。</w:t>
      </w:r>
    </w:p>
    <w:p>
      <w:pPr>
        <w:spacing w:line="520" w:lineRule="exact"/>
        <w:ind w:firstLine="642"/>
        <w:rPr>
          <w:rFonts w:ascii="仿宋_GB2312" w:eastAsia="仿宋_GB2312"/>
          <w:sz w:val="32"/>
          <w:szCs w:val="32"/>
        </w:rPr>
      </w:pPr>
      <w:r>
        <w:rPr>
          <w:rFonts w:hint="eastAsia" w:ascii="黑体" w:hAnsi="黑体" w:eastAsia="黑体"/>
          <w:sz w:val="32"/>
          <w:szCs w:val="32"/>
        </w:rPr>
        <w:t>五、“三公”经费：</w:t>
      </w:r>
      <w:r>
        <w:rPr>
          <w:rFonts w:hint="eastAsia" w:ascii="仿宋_GB2312" w:eastAsia="仿宋_GB2312"/>
          <w:sz w:val="32"/>
          <w:szCs w:val="32"/>
        </w:rPr>
        <w:t>指民丰县司法局用一般公共预算财政拨款安排的公务用车购置及运行费和公务接待费。其中，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20" w:lineRule="exact"/>
        <w:ind w:firstLine="642"/>
        <w:rPr>
          <w:rFonts w:ascii="仿宋_GB2312" w:eastAsia="仿宋_GB2312"/>
          <w:sz w:val="32"/>
          <w:szCs w:val="32"/>
        </w:rPr>
      </w:pPr>
      <w:r>
        <w:rPr>
          <w:rFonts w:hint="eastAsia" w:ascii="黑体" w:hAnsi="黑体" w:eastAsia="黑体"/>
          <w:sz w:val="32"/>
          <w:szCs w:val="32"/>
        </w:rPr>
        <w:t>六、机关运行经费：</w:t>
      </w:r>
      <w:r>
        <w:rPr>
          <w:rFonts w:hint="eastAsia" w:ascii="仿宋_GB2312" w:eastAsia="仿宋_GB2312"/>
          <w:sz w:val="32"/>
          <w:szCs w:val="32"/>
        </w:rPr>
        <w:t>指</w:t>
      </w:r>
      <w:r>
        <w:rPr>
          <w:rFonts w:hint="eastAsia" w:ascii="仿宋_GB2312" w:hAnsi="宋体" w:eastAsia="仿宋_GB2312" w:cs="宋体"/>
          <w:kern w:val="0"/>
          <w:sz w:val="32"/>
          <w:szCs w:val="32"/>
        </w:rPr>
        <w:t>民丰县司法局</w:t>
      </w:r>
      <w:r>
        <w:rPr>
          <w:rFonts w:hint="eastAsia" w:ascii="仿宋_GB2312" w:eastAsia="仿宋_GB2312"/>
          <w:sz w:val="32"/>
          <w:szCs w:val="32"/>
        </w:rPr>
        <w:t>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民丰县司法局</w:t>
      </w:r>
    </w:p>
    <w:p>
      <w:pPr>
        <w:widowControl/>
        <w:spacing w:line="52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2020</w:t>
      </w:r>
      <w:r>
        <w:rPr>
          <w:rFonts w:ascii="仿宋_GB2312" w:hAnsi="宋体" w:eastAsia="仿宋_GB2312" w:cs="宋体"/>
          <w:kern w:val="0"/>
          <w:sz w:val="32"/>
          <w:szCs w:val="32"/>
        </w:rPr>
        <w:t>年</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月</w:t>
      </w:r>
      <w:r>
        <w:rPr>
          <w:rFonts w:hint="eastAsia" w:ascii="仿宋_GB2312" w:hAnsi="宋体" w:eastAsia="仿宋_GB2312" w:cs="宋体"/>
          <w:kern w:val="0"/>
          <w:sz w:val="32"/>
          <w:szCs w:val="32"/>
        </w:rPr>
        <w:t xml:space="preserve"> </w:t>
      </w:r>
      <w:r>
        <w:rPr>
          <w:rFonts w:hint="eastAsia" w:ascii="仿宋_GB2312" w:hAnsi="宋体" w:eastAsia="仿宋_GB2312" w:cs="宋体"/>
          <w:kern w:val="0"/>
          <w:sz w:val="32"/>
          <w:szCs w:val="32"/>
          <w:lang w:val="en-US" w:eastAsia="zh-CN"/>
        </w:rPr>
        <w:t>15日</w:t>
      </w:r>
      <w:r>
        <w:rPr>
          <w:rFonts w:hint="eastAsia" w:ascii="仿宋_GB2312" w:hAnsi="宋体" w:eastAsia="仿宋_GB2312" w:cs="宋体"/>
          <w:kern w:val="0"/>
          <w:sz w:val="32"/>
          <w:szCs w:val="32"/>
        </w:rPr>
        <w:t xml:space="preserve">  </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32 -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1D5C"/>
    <w:rsid w:val="00012D6C"/>
    <w:rsid w:val="000768F7"/>
    <w:rsid w:val="00183641"/>
    <w:rsid w:val="001B7AEA"/>
    <w:rsid w:val="00215F29"/>
    <w:rsid w:val="0023380B"/>
    <w:rsid w:val="002B5144"/>
    <w:rsid w:val="00325B17"/>
    <w:rsid w:val="0046071D"/>
    <w:rsid w:val="004F30CB"/>
    <w:rsid w:val="005C0B06"/>
    <w:rsid w:val="007B031B"/>
    <w:rsid w:val="0080244C"/>
    <w:rsid w:val="008E2149"/>
    <w:rsid w:val="00A515A0"/>
    <w:rsid w:val="00A913AE"/>
    <w:rsid w:val="00A91490"/>
    <w:rsid w:val="00AD754C"/>
    <w:rsid w:val="00B74ECC"/>
    <w:rsid w:val="00B84747"/>
    <w:rsid w:val="00B9628C"/>
    <w:rsid w:val="00BD30DD"/>
    <w:rsid w:val="00C61174"/>
    <w:rsid w:val="00CB725B"/>
    <w:rsid w:val="00D07EAB"/>
    <w:rsid w:val="00D96466"/>
    <w:rsid w:val="00DB5BE3"/>
    <w:rsid w:val="00E06F11"/>
    <w:rsid w:val="00E65ED2"/>
    <w:rsid w:val="00E833B6"/>
    <w:rsid w:val="00FC6ABD"/>
    <w:rsid w:val="07926BB2"/>
    <w:rsid w:val="083F3F26"/>
    <w:rsid w:val="09582C76"/>
    <w:rsid w:val="1390306C"/>
    <w:rsid w:val="16AF1992"/>
    <w:rsid w:val="16CC35E5"/>
    <w:rsid w:val="27AB08DD"/>
    <w:rsid w:val="2A6F25F2"/>
    <w:rsid w:val="2B691AE5"/>
    <w:rsid w:val="2CCB2716"/>
    <w:rsid w:val="2F9D3E96"/>
    <w:rsid w:val="2FE532A2"/>
    <w:rsid w:val="34B037C5"/>
    <w:rsid w:val="360E1FBD"/>
    <w:rsid w:val="40821880"/>
    <w:rsid w:val="4A2F4D4C"/>
    <w:rsid w:val="4C0673AC"/>
    <w:rsid w:val="56920F39"/>
    <w:rsid w:val="58175DAE"/>
    <w:rsid w:val="62211C21"/>
    <w:rsid w:val="6B793615"/>
    <w:rsid w:val="6CC91855"/>
    <w:rsid w:val="7BFB0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DA5439-D9F9-4AB9-B93A-D2F71473544A}">
  <ds:schemaRefs/>
</ds:datastoreItem>
</file>

<file path=docProps/app.xml><?xml version="1.0" encoding="utf-8"?>
<Properties xmlns="http://schemas.openxmlformats.org/officeDocument/2006/extended-properties" xmlns:vt="http://schemas.openxmlformats.org/officeDocument/2006/docPropsVTypes">
  <Template>Normal</Template>
  <Pages>20</Pages>
  <Words>1507</Words>
  <Characters>8593</Characters>
  <Lines>71</Lines>
  <Paragraphs>20</Paragraphs>
  <TotalTime>1</TotalTime>
  <ScaleCrop>false</ScaleCrop>
  <LinksUpToDate>false</LinksUpToDate>
  <CharactersWithSpaces>10080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2020-06-24T10:45:30Z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