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方正小标宋_GBK" w:hAnsi="宋体" w:eastAsia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民丰县若克雅乡人民政府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2020年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民丰县若克雅乡人民政府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民丰县若克雅乡人民政府2020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民丰县若克雅乡人民政府2020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民丰县若克雅乡人民政府2020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民丰县若克雅乡人民政府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民丰县若克雅乡人民政府2020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民丰县若克雅乡人民政府2020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民丰县若克雅乡人民政府2020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left="1278" w:leftChars="304" w:hanging="640" w:hanging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民丰县若克雅乡人民政府2020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kern w:val="0"/>
          <w:sz w:val="32"/>
          <w:szCs w:val="32"/>
        </w:rPr>
        <w:t>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民丰县若克雅乡人民政府2020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民丰县若克雅乡人民政府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hint="eastAsia" w:ascii="仿宋_GB2312" w:hAnsi="新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/>
          <w:b w:val="0"/>
          <w:bCs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 xml:space="preserve"> 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新宋体" w:eastAsia="仿宋_GB2312"/>
          <w:b w:val="0"/>
          <w:bCs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民丰县若克雅乡人民政府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886"/>
                <w:tab w:val="right" w:pos="207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2231.73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1949.83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2231.73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281.90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2231.73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2231.73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2231.73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both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民丰县若克雅乡人民政府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单位：万元</w:t>
      </w:r>
    </w:p>
    <w:tbl>
      <w:tblPr>
        <w:tblStyle w:val="7"/>
        <w:tblW w:w="9906" w:type="dxa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501"/>
        <w:gridCol w:w="417"/>
        <w:gridCol w:w="2145"/>
        <w:gridCol w:w="1047"/>
        <w:gridCol w:w="1005"/>
        <w:gridCol w:w="435"/>
        <w:gridCol w:w="540"/>
        <w:gridCol w:w="513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一般公共服务支出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1949.83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1949.83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政府办公厅（室）及相关机构事务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1949.83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1949.83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行政运行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1949.83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1949.83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社会保障和就业支出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281.90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281.90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行政事业单位养老支出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281.90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281.90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机关事业单位基本养老保险缴费支出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281.90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281.90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2231.73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2231.73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民丰县若克雅乡人民政府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单位：万元</w:t>
      </w:r>
    </w:p>
    <w:tbl>
      <w:tblPr>
        <w:tblStyle w:val="7"/>
        <w:tblW w:w="9477" w:type="dxa"/>
        <w:tblInd w:w="-2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00"/>
        <w:gridCol w:w="400"/>
        <w:gridCol w:w="2604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1949.83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1872.83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1949.83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1872.83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1949.83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1872.83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281.90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281.90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281.90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281.90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281.90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281.90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2231.73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2154.73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77</w:t>
            </w:r>
          </w:p>
        </w:tc>
      </w:tr>
    </w:tbl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民丰县若克雅乡人民政府</w:t>
      </w:r>
      <w:r>
        <w:rPr>
          <w:rFonts w:hint="eastAsia" w:ascii="仿宋_GB2312" w:hAnsi="宋体" w:eastAsia="仿宋_GB2312"/>
          <w:kern w:val="0"/>
          <w:sz w:val="24"/>
        </w:rPr>
        <w:t xml:space="preserve">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2231.73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1949.83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1949.83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2231.73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281.90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281.90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2231.73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2231.73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2231.73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民丰县若克雅乡人民政府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一般公共服务支出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1949.83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1872.83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1949.83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1872.83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1949.83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1872.83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281.90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281.90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281.90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281.90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281.90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281.90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2231.73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2154.73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民丰县若克雅乡人民政府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1927.48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1927.48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47" w:rightChars="7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365.40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47" w:rightChars="7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365.40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1038.99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1038.99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89.92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89.92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281.90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281.90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住房公积金</w:t>
            </w:r>
          </w:p>
          <w:p>
            <w:pPr>
              <w:bidi w:val="0"/>
              <w:jc w:val="righ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120.82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120.82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93.67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93.67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54.63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54.63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133.48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133.48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133.48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2154.73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2061.06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93.67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657" w:type="dxa"/>
        <w:tblInd w:w="-4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35"/>
        <w:gridCol w:w="450"/>
        <w:gridCol w:w="885"/>
        <w:gridCol w:w="1215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375" w:hRule="atLeast"/>
        </w:trPr>
        <w:tc>
          <w:tcPr>
            <w:tcW w:w="957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405" w:hRule="atLeast"/>
        </w:trPr>
        <w:tc>
          <w:tcPr>
            <w:tcW w:w="44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民丰县若克雅乡人民政府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15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30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201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3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8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一般公共服务支出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lang w:val="en-US" w:eastAsia="zh-CN"/>
              </w:rPr>
              <w:t>村级运转经费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630" w:type="dxa"/>
            <w:vAlign w:val="top"/>
          </w:tcPr>
          <w:p>
            <w:pPr>
              <w:widowControl/>
              <w:jc w:val="both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435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both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both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45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政府办公厅（室）及相关机构事务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lang w:val="en-US" w:eastAsia="zh-CN"/>
              </w:rPr>
              <w:t>村级运转经费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3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435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450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885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行政运行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lang w:val="en-US" w:eastAsia="zh-CN"/>
              </w:rPr>
              <w:t>村级运转经费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3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8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3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8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3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8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3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8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3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8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3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8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3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8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3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8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3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8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3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8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77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outlineLvl w:val="1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77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民丰县若克雅乡人民政府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default" w:ascii="仿宋_GB2312" w:hAnsi="宋体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本单位无一般公共预算三公经费支出。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民丰县若克雅乡人民政府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备注：本单位无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出。</w:t>
      </w:r>
    </w:p>
    <w:p>
      <w:pPr>
        <w:widowControl w:val="0"/>
        <w:spacing w:before="0" w:beforeLines="0" w:line="560" w:lineRule="exact"/>
        <w:jc w:val="center"/>
        <w:outlineLvl w:val="9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widowControl w:val="0"/>
        <w:spacing w:before="0" w:beforeLines="0" w:line="560" w:lineRule="exact"/>
        <w:jc w:val="center"/>
        <w:outlineLvl w:val="9"/>
        <w:rPr>
          <w:rFonts w:ascii="黑体" w:hAnsi="黑体" w:eastAsia="黑体"/>
          <w:kern w:val="0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民丰县若克雅乡人民政府2020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民丰县若克雅乡人民政府2020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2231.73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支出预算包括：一般公共服务支出、社会保障和就业支出。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民丰县若克雅乡人民政府2020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民丰县若克雅乡人民政府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2231.73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2231.73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1046.57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各类生活补助及新干部人数的增加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b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民丰县若克雅乡人民政府2020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民丰县若克雅乡人民政府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年支出预算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2231.73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2154.73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969.57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各类生活补助及新干部人数的增加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项目支出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上年未做预算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民丰县若克雅乡人民政府2020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pacing w:val="-4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年财政拨款收支总预算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2231.73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支出预算包括：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般公共服务支出1949.83万元，主要用于基本工资、津贴补贴、奖金、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职工基本医疗保险缴费、公务员医疗补助缴费、其他社会保障缴费、住房公积金、其他对个人和家庭的补助等。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社会保障和就业支出281.90万元。主要用于机关事业单位基本养老保险缴费。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民丰县若克雅乡人民政府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民丰县若克雅乡人民政府2020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年一般公共预算拨款基本支出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2154.73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1046.57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各类生活补助及内招和军转干部人数的增加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楷体_GB2312" w:eastAsia="楷体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1949.83 </w:t>
      </w:r>
      <w:r>
        <w:rPr>
          <w:rFonts w:hint="eastAsia" w:ascii="楷体_GB2312" w:eastAsia="楷体_GB2312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87.37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%。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2.社会保障和就业支出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208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281.90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%。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2010301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一般公共服务（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政府办公厅（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）及相关机构事务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行政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运行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1949.83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1046.57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增长54%，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各类生活补助及内招和军转干部人数的增加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  <w:highlight w:val="yellow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2080505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行政事业单位养老支出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281.90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工资基数调整。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民丰县若克雅乡人民政府2020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民丰县若克雅乡人民政府2020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2154.73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 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人员经费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2061.06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万元，主要包括：基本工资、津贴补贴、奖金、机关事业单位基本养老保险缴费、职业年金缴费、职工基本医疗保险缴费、公务员医疗补助缴费、其他社会保障缴费、住房公积金、其他对个人和家庭的补助等。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公用经费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93.67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万元，主要包括：取暖费、工会经费、福利费等。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民丰县若克雅乡人民政府2020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村级组织运转经费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新党委【2019】9号文件。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运转经费77万元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民丰县若克雅乡人民政府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每个村11万元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2020年1月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民丰县若克雅乡人民政府2020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民丰县若克雅乡人民政府2020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年“三公”经费财政拨款预算数为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万元，其中：因公出国（境）费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万元，公务用车购置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万元，公务用车运行费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万元，公务接待费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万元，其中：因公出国（境）费增加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民丰县若克雅乡人民政府2020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b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民丰县若克雅乡人民政府2020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若克雅乡人民政府本级及下属0家行政单位和0家事业单位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93.67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万元，比上年预算增加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49.44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万元，增长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111.77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人员增多，工会福利费，取暖费也增加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3" w:firstLineChars="200"/>
        <w:jc w:val="both"/>
        <w:rPr>
          <w:rFonts w:hint="eastAsia" w:ascii="楷体_GB2312" w:hAnsi="宋体" w:eastAsia="楷体_GB2312" w:cs="宋体"/>
          <w:b/>
          <w:kern w:val="0"/>
          <w:sz w:val="32"/>
          <w:szCs w:val="32"/>
          <w:highlight w:val="yellow"/>
          <w:lang w:eastAsia="zh-CN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民丰县若克雅乡人民政府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及下属单位政府采购预算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万元，其中：政府采购货物预算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万元，政府采购工程预算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万元，政府采购服务预算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民丰县若克雅乡人民政府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1.房屋   2209.97  平方米，价值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2.车辆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万元；其中：一般公务用车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万元；执法执勤用车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万元；其他车辆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3.办公家具价值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33.43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4.其他资产价值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年度，本年度实行绩效管理的项目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个，涉及预算金额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民丰县若克雅乡人民政府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村级运转经费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个村运转经费补助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每村11万元/年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2020年1月至12月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居民活动场所及设施完成率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预算完成率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确保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工作平稳进行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长期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促进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七个村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有序开展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有效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持续推进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绿色发展，建设美丽乡村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有效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持续推进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≧95%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widowControl/>
        <w:spacing w:before="217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民丰县若克雅乡人民政府</w:t>
      </w:r>
      <w:r>
        <w:rPr>
          <w:rFonts w:hint="eastAsia" w:ascii="仿宋_GB2312" w:eastAsia="仿宋_GB2312"/>
          <w:sz w:val="32"/>
          <w:szCs w:val="32"/>
        </w:rPr>
        <w:t>为完成其特定的行政任务或事业发展目标，在基本支出预算之外编制的年度项目支出计划。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五、“三公”经费：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民丰县若克雅乡人民政府</w:t>
      </w:r>
      <w:r>
        <w:rPr>
          <w:rFonts w:hint="eastAsia" w:ascii="仿宋_GB2312" w:eastAsia="仿宋_GB2312"/>
          <w:sz w:val="32"/>
          <w:szCs w:val="32"/>
        </w:rPr>
        <w:t>用一般公共预算财政拨款安排的公务用车运行费。公务用车运行费指单位公务用车燃料费、维修费、过路过桥费、保险费等支出。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民丰县若克雅乡人民政府</w:t>
      </w:r>
    </w:p>
    <w:p>
      <w:pPr>
        <w:widowControl/>
        <w:spacing w:line="520" w:lineRule="exact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5 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15 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2B5144"/>
    <w:rsid w:val="00325B17"/>
    <w:rsid w:val="00FC6ABD"/>
    <w:rsid w:val="01C34A3E"/>
    <w:rsid w:val="02353BD1"/>
    <w:rsid w:val="02686053"/>
    <w:rsid w:val="03F94332"/>
    <w:rsid w:val="044D2EBB"/>
    <w:rsid w:val="04BA6ACD"/>
    <w:rsid w:val="07926BB2"/>
    <w:rsid w:val="083F3F26"/>
    <w:rsid w:val="09527C7B"/>
    <w:rsid w:val="0AA27DAA"/>
    <w:rsid w:val="0ABA2BB1"/>
    <w:rsid w:val="0BB6703F"/>
    <w:rsid w:val="13860B37"/>
    <w:rsid w:val="1390306C"/>
    <w:rsid w:val="16CC35E5"/>
    <w:rsid w:val="18CE1463"/>
    <w:rsid w:val="190F3236"/>
    <w:rsid w:val="1AC84BEE"/>
    <w:rsid w:val="1AEE39E9"/>
    <w:rsid w:val="1B913050"/>
    <w:rsid w:val="1C1B53F6"/>
    <w:rsid w:val="1CD35C40"/>
    <w:rsid w:val="1D861612"/>
    <w:rsid w:val="1DBB48DA"/>
    <w:rsid w:val="20824936"/>
    <w:rsid w:val="211D76DA"/>
    <w:rsid w:val="21365BF8"/>
    <w:rsid w:val="21E904C4"/>
    <w:rsid w:val="277E4382"/>
    <w:rsid w:val="285C4814"/>
    <w:rsid w:val="296463F0"/>
    <w:rsid w:val="2A6F25F2"/>
    <w:rsid w:val="2B704614"/>
    <w:rsid w:val="2CCB2716"/>
    <w:rsid w:val="2D9D2A57"/>
    <w:rsid w:val="2F0666DA"/>
    <w:rsid w:val="2F6B5E2A"/>
    <w:rsid w:val="2F9D3E96"/>
    <w:rsid w:val="2FE532A2"/>
    <w:rsid w:val="301872F5"/>
    <w:rsid w:val="30262020"/>
    <w:rsid w:val="32774C31"/>
    <w:rsid w:val="32F56ABD"/>
    <w:rsid w:val="34B037C5"/>
    <w:rsid w:val="3502180D"/>
    <w:rsid w:val="356B7263"/>
    <w:rsid w:val="36BD613D"/>
    <w:rsid w:val="37F9421E"/>
    <w:rsid w:val="38092AE8"/>
    <w:rsid w:val="3A9A69C2"/>
    <w:rsid w:val="3B0D11D2"/>
    <w:rsid w:val="3E97167F"/>
    <w:rsid w:val="3E9D216F"/>
    <w:rsid w:val="3EF30CF6"/>
    <w:rsid w:val="40604CCB"/>
    <w:rsid w:val="40821880"/>
    <w:rsid w:val="42606AE5"/>
    <w:rsid w:val="43D42962"/>
    <w:rsid w:val="49B171D8"/>
    <w:rsid w:val="4A7B7CEF"/>
    <w:rsid w:val="4AD23D17"/>
    <w:rsid w:val="4C0673AC"/>
    <w:rsid w:val="4C3A7AF2"/>
    <w:rsid w:val="4C54033F"/>
    <w:rsid w:val="4C841E1D"/>
    <w:rsid w:val="4DFB5F28"/>
    <w:rsid w:val="4F9A62F3"/>
    <w:rsid w:val="4FF07CF9"/>
    <w:rsid w:val="50B17A7A"/>
    <w:rsid w:val="50DD6418"/>
    <w:rsid w:val="532A2D8D"/>
    <w:rsid w:val="559745BA"/>
    <w:rsid w:val="56920F39"/>
    <w:rsid w:val="56B47CD9"/>
    <w:rsid w:val="57395831"/>
    <w:rsid w:val="58175DAE"/>
    <w:rsid w:val="586538A7"/>
    <w:rsid w:val="593F57CF"/>
    <w:rsid w:val="59E714EA"/>
    <w:rsid w:val="61981BFD"/>
    <w:rsid w:val="63503479"/>
    <w:rsid w:val="636D11E6"/>
    <w:rsid w:val="63C8035F"/>
    <w:rsid w:val="68043508"/>
    <w:rsid w:val="6805545E"/>
    <w:rsid w:val="6AC61B8D"/>
    <w:rsid w:val="6B793615"/>
    <w:rsid w:val="6CC91855"/>
    <w:rsid w:val="6D8C6A2A"/>
    <w:rsid w:val="6D99302A"/>
    <w:rsid w:val="6E141896"/>
    <w:rsid w:val="6E1E7E03"/>
    <w:rsid w:val="6E2B5B43"/>
    <w:rsid w:val="6FDF2CDD"/>
    <w:rsid w:val="7315002D"/>
    <w:rsid w:val="73C3604D"/>
    <w:rsid w:val="73CB35A6"/>
    <w:rsid w:val="75B85A10"/>
    <w:rsid w:val="79A21754"/>
    <w:rsid w:val="79E8723A"/>
    <w:rsid w:val="7BFB0F25"/>
    <w:rsid w:val="7EB5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1575</Words>
  <Characters>8978</Characters>
  <Lines>74</Lines>
  <Paragraphs>21</Paragraphs>
  <TotalTime>1</TotalTime>
  <ScaleCrop>false</ScaleCrop>
  <LinksUpToDate>false</LinksUpToDate>
  <CharactersWithSpaces>10532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dcterms:modified xsi:type="dcterms:W3CDTF">2020-06-24T10:26:03Z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