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民丰县人力资源和社会保障局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民丰县人力资源和社会保障局单位概况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一、关于民丰县人力资源和社会保障局2020年收支预算情况的总体说明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二、关于民丰县人力资源和社会保障局2020年收入预算情况说明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三、关于民丰县人力资源和社会保障局2020年支出预算情况说明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民丰县人力资源和社会保障局</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五、关于民丰县人力资源和社会保障局2020年一般公共预算当年拨款情况说明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六、关于民丰县人力资源和社会保障局2020年一般公共预算基本支出情况说明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七、关于民丰县人力资源和社会保障局2020年项目支出情况说明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八、关于民丰县人力资源和社会保障局2020年一般公共预算“三公”经费预算情况说明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九、关于民丰县人力资源和社会保障局2020年政府性基金预算拨款情况说明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民丰县人力资源和社会保障局单位概况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编制部门：民丰县人力资源和社会保障局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xml:space="preserve"> 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538.2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538.2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538.2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538.2</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538.2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538.2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填报部门：民丰县人力资源和社会保障局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820"/>
        <w:gridCol w:w="54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6"/>
                <w:szCs w:val="16"/>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6"/>
                <w:szCs w:val="16"/>
              </w:rPr>
            </w:pPr>
            <w:r>
              <w:rPr>
                <w:rFonts w:hint="eastAsia"/>
                <w:sz w:val="18"/>
                <w:szCs w:val="21"/>
              </w:rPr>
              <w:t xml:space="preserve"> </w:t>
            </w:r>
            <w:r>
              <w:rPr>
                <w:rFonts w:hint="eastAsia" w:ascii="宋体" w:hAnsi="宋体" w:cs="宋体"/>
                <w:color w:val="000000"/>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538.2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538.2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sz w:val="18"/>
                <w:szCs w:val="21"/>
              </w:rPr>
            </w:pPr>
            <w:r>
              <w:rPr>
                <w:rFonts w:hint="eastAsia"/>
                <w:sz w:val="18"/>
                <w:szCs w:val="21"/>
              </w:rPr>
              <w:t xml:space="preserve"> 人力资源和社会保障管理事务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480.20</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480.20</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01</w:t>
            </w:r>
          </w:p>
        </w:tc>
        <w:tc>
          <w:tcPr>
            <w:tcW w:w="2145" w:type="dxa"/>
            <w:tcBorders>
              <w:top w:val="nil"/>
              <w:left w:val="nil"/>
              <w:bottom w:val="single" w:color="auto" w:sz="4" w:space="0"/>
              <w:right w:val="single" w:color="auto" w:sz="4" w:space="0"/>
            </w:tcBorders>
            <w:vAlign w:val="center"/>
          </w:tcPr>
          <w:p>
            <w:pPr>
              <w:widowControl/>
              <w:jc w:val="left"/>
              <w:textAlignment w:val="center"/>
              <w:rPr>
                <w:sz w:val="18"/>
                <w:szCs w:val="21"/>
              </w:rPr>
            </w:pPr>
            <w:r>
              <w:rPr>
                <w:rFonts w:hint="eastAsia"/>
                <w:sz w:val="18"/>
                <w:szCs w:val="21"/>
              </w:rPr>
              <w:t>行政运行（人力资源和社会保障管理事务）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480.20</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480.20</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sz w:val="18"/>
                <w:szCs w:val="21"/>
              </w:rPr>
            </w:pPr>
            <w:r>
              <w:rPr>
                <w:rFonts w:hint="eastAsia"/>
                <w:sz w:val="18"/>
                <w:szCs w:val="21"/>
              </w:rPr>
              <w:t xml:space="preserve"> 行政事业单位养老支出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58</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58</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2145" w:type="dxa"/>
            <w:tcBorders>
              <w:top w:val="nil"/>
              <w:left w:val="nil"/>
              <w:bottom w:val="single" w:color="auto" w:sz="4" w:space="0"/>
              <w:right w:val="single" w:color="auto" w:sz="4" w:space="0"/>
            </w:tcBorders>
            <w:vAlign w:val="center"/>
          </w:tcPr>
          <w:p>
            <w:pPr>
              <w:widowControl/>
              <w:jc w:val="left"/>
              <w:textAlignment w:val="center"/>
              <w:rPr>
                <w:sz w:val="18"/>
                <w:szCs w:val="21"/>
              </w:rPr>
            </w:pPr>
            <w:r>
              <w:rPr>
                <w:rFonts w:hint="eastAsia"/>
                <w:sz w:val="18"/>
                <w:szCs w:val="21"/>
              </w:rPr>
              <w:t xml:space="preserve"> </w:t>
            </w:r>
            <w:r>
              <w:rPr>
                <w:rFonts w:hint="eastAsia" w:ascii="宋体" w:hAnsi="宋体" w:cs="宋体"/>
                <w:color w:val="000000"/>
                <w:kern w:val="0"/>
                <w:sz w:val="18"/>
                <w:szCs w:val="18"/>
              </w:rPr>
              <w:t xml:space="preserve"> 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58</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58</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sz w:val="18"/>
                <w:szCs w:val="21"/>
              </w:rPr>
            </w:pP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538.2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538.2　</w:t>
            </w:r>
          </w:p>
        </w:tc>
        <w:tc>
          <w:tcPr>
            <w:tcW w:w="5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民丰县人力资源和社会保障局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w:t>
            </w:r>
            <w:r>
              <w:rPr>
                <w:rFonts w:hint="eastAsia" w:ascii="宋体" w:hAnsi="宋体" w:cs="宋体"/>
                <w:color w:val="000000"/>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538.2　</w:t>
            </w:r>
          </w:p>
        </w:tc>
        <w:tc>
          <w:tcPr>
            <w:tcW w:w="1856"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538.2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人力资源和社会保障管理事务</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01</w:t>
            </w: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行政运行（人力资源和社会保障管理事务）</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仿宋_GB2312" w:hAnsi="宋体" w:eastAsia="仿宋_GB2312" w:cs="宋体"/>
                <w:color w:val="000000"/>
                <w:sz w:val="20"/>
                <w:szCs w:val="20"/>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行政事业单位养老支出</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仿宋_GB2312" w:hAnsi="宋体" w:eastAsia="仿宋_GB2312" w:cs="宋体"/>
                <w:color w:val="000000"/>
                <w:sz w:val="20"/>
                <w:szCs w:val="20"/>
              </w:rPr>
              <w:t>05</w:t>
            </w:r>
          </w:p>
        </w:tc>
        <w:tc>
          <w:tcPr>
            <w:tcW w:w="26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w:t>
            </w:r>
            <w:r>
              <w:rPr>
                <w:rFonts w:hint="eastAsia" w:ascii="宋体" w:hAnsi="宋体" w:cs="宋体"/>
                <w:color w:val="000000"/>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538.2</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538.2</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民丰县人力资源和社会保障局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538.2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538.2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538.2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538.2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538.2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538.2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538.2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51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4647"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 民丰县人力资源和社会保障局</w:t>
            </w: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w:t>
            </w: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20"/>
                <w:szCs w:val="20"/>
              </w:rPr>
              <w:t>538.2</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20"/>
                <w:szCs w:val="20"/>
              </w:rPr>
              <w:t>538.2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人力资源和社会保障管理事务</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01</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行政运行（人力资源和社会保障管理事务）</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480.20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w:t>
            </w:r>
            <w:r>
              <w:rPr>
                <w:rFonts w:hint="eastAsia" w:ascii="宋体" w:hAnsi="宋体" w:cs="宋体"/>
                <w:color w:val="000000"/>
                <w:kern w:val="0"/>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仿宋_GB2312" w:hAnsi="宋体" w:eastAsia="仿宋_GB2312" w:cs="宋体"/>
                <w:color w:val="000000"/>
                <w:sz w:val="20"/>
                <w:szCs w:val="20"/>
              </w:rPr>
              <w:t>05</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sz w:val="18"/>
                <w:szCs w:val="21"/>
              </w:rPr>
              <w:t xml:space="preserve"> </w:t>
            </w:r>
            <w:r>
              <w:rPr>
                <w:rFonts w:hint="eastAsia" w:ascii="宋体" w:hAnsi="宋体" w:cs="宋体"/>
                <w:color w:val="000000"/>
                <w:kern w:val="0"/>
                <w:sz w:val="18"/>
                <w:szCs w:val="18"/>
              </w:rPr>
              <w:t xml:space="preserve">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58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538.2</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538.2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民丰县人力资源和社会保障局   </w:t>
            </w: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411.09</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411.09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83.68</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83.68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206.78</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206.78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6.97</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6.97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88.80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88.80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不随工资发放的津补贴</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24.86</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24.86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29.27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29.27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10.89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1.62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1.62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97.84</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97.84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其他对个人和家庭的补助支出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97.84</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97.84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538.2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508.93</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29.27</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367" w:hRule="atLeast"/>
        </w:trPr>
        <w:tc>
          <w:tcPr>
            <w:tcW w:w="7027"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编制部门：社会保障局</w:t>
            </w:r>
            <w:r>
              <w:rPr>
                <w:rFonts w:hint="eastAsia" w:ascii="仿宋_GB2312" w:hAnsi="宋体" w:eastAsia="仿宋_GB2312"/>
                <w:kern w:val="0"/>
                <w:sz w:val="24"/>
              </w:rPr>
              <w:t>民丰县人力资源和社会保障局</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备注：此表为空表，没有数据，没有项目支出。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编制单位：民丰县人力资源和社会保障局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1.62</w:t>
            </w:r>
          </w:p>
        </w:tc>
        <w:tc>
          <w:tcPr>
            <w:tcW w:w="1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1.62</w:t>
            </w:r>
          </w:p>
        </w:tc>
        <w:tc>
          <w:tcPr>
            <w:tcW w:w="141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1.62</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民丰县人力资源和社会保障局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关于民丰县人力资源和社会保障局2020年收支预算情况的总体说明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按照全口径预算的原则，民丰县人力资源和社会保障局2020年所有收入和支出均纳入部门预算管理。收支总预算    538.2万元。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二、关于民丰县人力资源和社会保障局2020年收入预算情况说明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民丰县人力资源和社会保障局收入预算538.2</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一般公共预算538.2万元，占100 %，比上年执行数减少260.14万元，下降32.3 %。主要原因是人员分流，业务划分，机构改革。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三、关于民丰县人力资源和社会保障局单位2020年支出预算情况说明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民丰县人力资源和社会保障局单位2020年支出预算    538.2万元，其中：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基本支出538.20万元，占100%，比上年执行数减少260.14万元，下降32.3 %。主要原因是人员分流，业务划分，机构改革。</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项目支出0万元，占0%，比上年执行数减少0万元，主要原因是没有项目预算。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四、关于民丰县人力资源和社会保障局2020年财政拨款收支预算情况的总体说明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2020年财政拨款收支总预算538.2 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16" w:firstLineChars="200"/>
        <w:rPr>
          <w:rFonts w:ascii="仿宋_GB2312" w:hAnsi="宋体" w:eastAsia="仿宋_GB2312" w:cs="宋体"/>
          <w:kern w:val="0"/>
          <w:sz w:val="18"/>
          <w:szCs w:val="18"/>
        </w:rPr>
      </w:pPr>
      <w:r>
        <w:rPr>
          <w:rFonts w:hint="eastAsia" w:ascii="仿宋_GB2312" w:hAnsi="宋体" w:eastAsia="仿宋_GB2312" w:cs="宋体"/>
          <w:spacing w:val="-6"/>
          <w:kern w:val="0"/>
          <w:sz w:val="32"/>
          <w:szCs w:val="32"/>
        </w:rPr>
        <w:t>支出预算包括：社会保障和就业支出538.2万元。主要用于工资福利支出，商品和服务支出，对个人和家庭补助支出</w:t>
      </w:r>
      <w:r>
        <w:rPr>
          <w:rFonts w:hint="eastAsia" w:ascii="仿宋_GB2312" w:hAnsi="宋体" w:eastAsia="仿宋_GB2312" w:cs="宋体"/>
          <w:spacing w:val="-6"/>
          <w:kern w:val="0"/>
          <w:sz w:val="32"/>
          <w:szCs w:val="32"/>
          <w:lang w:eastAsia="zh-CN"/>
        </w:rPr>
        <w:t>机关事业单位养老保险支出</w:t>
      </w:r>
      <w:r>
        <w:rPr>
          <w:rFonts w:hint="eastAsia" w:ascii="仿宋_GB2312" w:hAnsi="宋体" w:eastAsia="仿宋_GB2312" w:cs="宋体"/>
          <w:kern w:val="0"/>
          <w:sz w:val="18"/>
          <w:szCs w:val="18"/>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五、关于民丰县人力资源和社会保障局2020年一般公共预算当年拨款情况说明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民丰县人力资源和社会保障局2020年一般公共预算拨款基本支出538.2万元，比上年执行数减少260.14万元，下降32.3 %。主要原因是人员分流，业务划分，机构改革。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1.社会保障和就业支出</w:t>
      </w:r>
      <w:r>
        <w:rPr>
          <w:rFonts w:hint="eastAsia" w:ascii="仿宋_GB2312" w:eastAsia="仿宋_GB2312"/>
          <w:sz w:val="32"/>
          <w:szCs w:val="32"/>
        </w:rPr>
        <w:t>（类）538.2万</w:t>
      </w:r>
      <w:r>
        <w:rPr>
          <w:rFonts w:hint="eastAsia" w:ascii="仿宋_GB2312" w:hAnsi="宋体" w:eastAsia="仿宋_GB2312" w:cs="宋体"/>
          <w:kern w:val="0"/>
          <w:sz w:val="32"/>
          <w:szCs w:val="32"/>
        </w:rPr>
        <w:t>元，占100 %。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1.2080101社会保障和就业支出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人力资源和社会保障管理事务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 xml:space="preserve"> 行政运行（人力资源和社会保障管理事务）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480.20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比上年执行数减279.2万元，下降36.8%，主要原因是：人员分流，业务划分，机构改革。</w:t>
      </w:r>
    </w:p>
    <w:p>
      <w:pPr>
        <w:spacing w:line="560" w:lineRule="exact"/>
        <w:ind w:firstLine="640" w:firstLineChars="200"/>
        <w:rPr>
          <w:rFonts w:ascii="仿宋_GB2312" w:hAnsi="宋体" w:eastAsia="仿宋_GB2312" w:cs="宋体"/>
          <w:b/>
          <w:kern w:val="0"/>
          <w:sz w:val="32"/>
          <w:szCs w:val="32"/>
          <w:highlight w:val="yellow"/>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58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比上年执行数增加19.12万元，增加49%，主要原因是：人员调动，工资基数增加。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六、关于民丰县人力资源和社会保障局2020年一般公共预算基本支出情况说明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民丰县人力资源和社会保障局2020年一般公共预算基本支出538.2万元，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508.93</w:t>
      </w:r>
      <w:r>
        <w:rPr>
          <w:rFonts w:hint="eastAsia" w:ascii="仿宋_GB2312" w:hAnsi="宋体" w:eastAsia="仿宋_GB2312" w:cs="宋体"/>
          <w:kern w:val="0"/>
          <w:sz w:val="32"/>
          <w:szCs w:val="32"/>
        </w:rPr>
        <w:t>万元，主要包括：基本工资、津贴补贴、奖金、社会保障缴费、不随工资发放的津补贴、住房公积金、其他工资福利支出、其他对个人和家庭的补助支出。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29.27</w:t>
      </w:r>
      <w:r>
        <w:rPr>
          <w:rFonts w:hint="eastAsia" w:ascii="仿宋_GB2312" w:hAnsi="宋体" w:eastAsia="仿宋_GB2312" w:cs="宋体"/>
          <w:kern w:val="0"/>
          <w:sz w:val="32"/>
          <w:szCs w:val="32"/>
        </w:rPr>
        <w:t>万元，主要包括：办公费、水电费、邮电费、取暖费、交通费、差旅费、工会经费、福利费。</w:t>
      </w: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关于民丰县人力资源和社会保障局2020年项目支出情况说明</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 xml:space="preserve">    </w:t>
      </w:r>
      <w:r>
        <w:rPr>
          <w:rFonts w:hint="eastAsia" w:ascii="仿宋_GB2312" w:hAnsi="宋体" w:eastAsia="仿宋_GB2312" w:cs="宋体"/>
          <w:kern w:val="0"/>
          <w:sz w:val="32"/>
          <w:szCs w:val="32"/>
        </w:rPr>
        <w:t xml:space="preserve"> 本单位无项目支出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八、关于民丰县人力资源和社会保障局2020年一般公共预算“三公”经费预算情况说明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民丰县人力资源和社会保障局2020年“三公”经费财政拨款预算数为1.62万元，其中：因公出国（境）费0 万元，公务用车购置0万元，公务用车运行费1.62万元，公务接待费0万元。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2020年“三公”经费财政拨款预算比上年增加0万元，其中：因公出国（境）费增加0万元，主要原因是未安排预算；公务用车购置费为0，未安排预算；公务用车运行费增加0万元，主要原因是车辆没有增加 ；公务接待费增加0万元，主要原因是未安排预算。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九、关于民丰县人力资源和社会保障局2020年政府性基金预算拨款情况说明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民丰县人力资源和社会保障局2020年没有使用政府性基金预算拨款安排的支出，政府性基金预算支出情况表为空表。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2020年，民丰县人力资源和社会保障局本级及下属0家行政单位和0家事业单位的机关运行经费财政拨款预算</w:t>
      </w:r>
      <w:r>
        <w:rPr>
          <w:rFonts w:hint="eastAsia" w:ascii="仿宋_GB2312" w:hAnsi="宋体" w:eastAsia="仿宋_GB2312" w:cs="宋体"/>
          <w:kern w:val="0"/>
          <w:sz w:val="32"/>
          <w:szCs w:val="32"/>
          <w:lang w:val="en-US" w:eastAsia="zh-CN"/>
        </w:rPr>
        <w:t>29.27</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.63万元，降低</w:t>
      </w:r>
      <w:r>
        <w:rPr>
          <w:rFonts w:hint="eastAsia" w:ascii="仿宋_GB2312" w:hAnsi="宋体" w:eastAsia="仿宋_GB2312" w:cs="宋体"/>
          <w:kern w:val="0"/>
          <w:sz w:val="32"/>
          <w:szCs w:val="32"/>
          <w:lang w:val="en-US" w:eastAsia="zh-CN"/>
        </w:rPr>
        <w:t>5.89</w:t>
      </w:r>
      <w:r>
        <w:rPr>
          <w:rFonts w:hint="eastAsia" w:ascii="仿宋_GB2312" w:hAnsi="宋体" w:eastAsia="仿宋_GB2312" w:cs="宋体"/>
          <w:kern w:val="0"/>
          <w:sz w:val="32"/>
          <w:szCs w:val="32"/>
        </w:rPr>
        <w:t>%。主要原因是人员分流，业务划分，机构改革。</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2020年，民丰县人力资源和社会保障局及下属单位政府采购预算0万元，其中：政府采购货物预算 0 万元，政府采购工程预算  0万元，政府采购服务预算 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截至2019年底，民丰县人力资源和社会保障局及下属各预算单位占用使用国有资产总体情况为</w:t>
      </w:r>
    </w:p>
    <w:p>
      <w:pPr>
        <w:widowControl/>
        <w:numPr>
          <w:ilvl w:val="0"/>
          <w:numId w:val="2"/>
        </w:numPr>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房屋4563平方米，价值79.19万元。</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2.车辆2辆，价值16.7万元；其中：一般公务用车1辆，价值10.6万元；执法执勤用车1辆，价值6.1万元；其他车辆0辆，价值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4.其他资产价值70.97万元。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四、“三公”经费：</w:t>
      </w:r>
      <w:r>
        <w:rPr>
          <w:rFonts w:hint="eastAsia" w:ascii="仿宋_GB2312" w:eastAsia="仿宋_GB2312"/>
          <w:sz w:val="32"/>
          <w:szCs w:val="32"/>
        </w:rPr>
        <w:t>指</w:t>
      </w:r>
      <w:r>
        <w:rPr>
          <w:rFonts w:hint="eastAsia" w:ascii="仿宋_GB2312" w:hAnsi="宋体" w:eastAsia="仿宋_GB2312" w:cs="宋体"/>
          <w:kern w:val="0"/>
          <w:sz w:val="32"/>
          <w:szCs w:val="32"/>
        </w:rPr>
        <w:t>民丰县人力资源和社会保障局</w:t>
      </w:r>
      <w:r>
        <w:rPr>
          <w:rFonts w:hint="eastAsia" w:ascii="仿宋_GB2312" w:eastAsia="仿宋_GB2312"/>
          <w:sz w:val="32"/>
          <w:szCs w:val="32"/>
        </w:rPr>
        <w:t>用一般公共预算财政拨款安排的公务用车运行费。公务用车运行费指单位公务用车租用费、燃料费、维修费、过路过桥费、保险费等支出。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rPr>
        <w:t>五、机关运行经费：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民丰县人力资源和社会保障局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黑体" w:hAnsi="黑体" w:eastAsia="黑体"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E4BF70"/>
    <w:multiLevelType w:val="singleLevel"/>
    <w:tmpl w:val="D8E4BF70"/>
    <w:lvl w:ilvl="0" w:tentative="0">
      <w:start w:val="7"/>
      <w:numFmt w:val="chineseCounting"/>
      <w:suff w:val="nothing"/>
      <w:lvlText w:val="%1、"/>
      <w:lvlJc w:val="left"/>
      <w:rPr>
        <w:rFonts w:hint="eastAsia"/>
      </w:rPr>
    </w:lvl>
  </w:abstractNum>
  <w:abstractNum w:abstractNumId="1">
    <w:nsid w:val="5E7C2A99"/>
    <w:multiLevelType w:val="singleLevel"/>
    <w:tmpl w:val="5E7C2A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25B17"/>
    <w:rsid w:val="00AC1F20"/>
    <w:rsid w:val="00BC1ED9"/>
    <w:rsid w:val="00FC6ABD"/>
    <w:rsid w:val="01D304DD"/>
    <w:rsid w:val="01E52C03"/>
    <w:rsid w:val="021E7B9E"/>
    <w:rsid w:val="0367288F"/>
    <w:rsid w:val="039644FA"/>
    <w:rsid w:val="03BF3CFE"/>
    <w:rsid w:val="05A84765"/>
    <w:rsid w:val="07926BB2"/>
    <w:rsid w:val="082544DA"/>
    <w:rsid w:val="083F3F26"/>
    <w:rsid w:val="09B40DAA"/>
    <w:rsid w:val="0A0F0C3C"/>
    <w:rsid w:val="0B430E9D"/>
    <w:rsid w:val="0B5A44CA"/>
    <w:rsid w:val="0E0F1A7B"/>
    <w:rsid w:val="0E21722B"/>
    <w:rsid w:val="0F5B0D69"/>
    <w:rsid w:val="10AC60BE"/>
    <w:rsid w:val="11A14216"/>
    <w:rsid w:val="11DC2A6F"/>
    <w:rsid w:val="12F5421A"/>
    <w:rsid w:val="1390306C"/>
    <w:rsid w:val="15E14D19"/>
    <w:rsid w:val="16CC35E5"/>
    <w:rsid w:val="18DC05CE"/>
    <w:rsid w:val="19194222"/>
    <w:rsid w:val="1B8642D1"/>
    <w:rsid w:val="1E4F0448"/>
    <w:rsid w:val="1FB1135C"/>
    <w:rsid w:val="21573EC5"/>
    <w:rsid w:val="23232BBB"/>
    <w:rsid w:val="236E1A8E"/>
    <w:rsid w:val="23B969E7"/>
    <w:rsid w:val="26242185"/>
    <w:rsid w:val="2727790C"/>
    <w:rsid w:val="277D2A3A"/>
    <w:rsid w:val="27EF0715"/>
    <w:rsid w:val="28E40DDC"/>
    <w:rsid w:val="2A6F25F2"/>
    <w:rsid w:val="2CCB2716"/>
    <w:rsid w:val="2F2B0F97"/>
    <w:rsid w:val="2F714D0E"/>
    <w:rsid w:val="2F9D3E96"/>
    <w:rsid w:val="2FE532A2"/>
    <w:rsid w:val="30B6551C"/>
    <w:rsid w:val="325146A0"/>
    <w:rsid w:val="337E0B3B"/>
    <w:rsid w:val="34B037C5"/>
    <w:rsid w:val="36C726F6"/>
    <w:rsid w:val="39E006E4"/>
    <w:rsid w:val="3B2865D5"/>
    <w:rsid w:val="3B4929A3"/>
    <w:rsid w:val="3C1C736A"/>
    <w:rsid w:val="3C4960A9"/>
    <w:rsid w:val="40821880"/>
    <w:rsid w:val="41DA4387"/>
    <w:rsid w:val="424B7420"/>
    <w:rsid w:val="42AB60F0"/>
    <w:rsid w:val="430C1EF8"/>
    <w:rsid w:val="44011F5C"/>
    <w:rsid w:val="441E35FC"/>
    <w:rsid w:val="44554CBE"/>
    <w:rsid w:val="44EC368A"/>
    <w:rsid w:val="4777476F"/>
    <w:rsid w:val="48CB72C5"/>
    <w:rsid w:val="494D7071"/>
    <w:rsid w:val="4A5B4F8F"/>
    <w:rsid w:val="4A973C16"/>
    <w:rsid w:val="4BD25796"/>
    <w:rsid w:val="4C0673AC"/>
    <w:rsid w:val="4FCE3710"/>
    <w:rsid w:val="50080D0F"/>
    <w:rsid w:val="5041391E"/>
    <w:rsid w:val="53500A86"/>
    <w:rsid w:val="53964398"/>
    <w:rsid w:val="53A328CE"/>
    <w:rsid w:val="55092E25"/>
    <w:rsid w:val="554D3377"/>
    <w:rsid w:val="55D5292A"/>
    <w:rsid w:val="56920F39"/>
    <w:rsid w:val="572564DE"/>
    <w:rsid w:val="57630B30"/>
    <w:rsid w:val="58175DAE"/>
    <w:rsid w:val="584E6971"/>
    <w:rsid w:val="58EF6FBB"/>
    <w:rsid w:val="5A483162"/>
    <w:rsid w:val="5B1F0D96"/>
    <w:rsid w:val="5BAC6DDF"/>
    <w:rsid w:val="5CF073EA"/>
    <w:rsid w:val="5D651474"/>
    <w:rsid w:val="5D900EDB"/>
    <w:rsid w:val="5D907D8F"/>
    <w:rsid w:val="5E8C45C1"/>
    <w:rsid w:val="5F357EFD"/>
    <w:rsid w:val="632037BE"/>
    <w:rsid w:val="638C0D6D"/>
    <w:rsid w:val="64396013"/>
    <w:rsid w:val="644268A1"/>
    <w:rsid w:val="66B251F1"/>
    <w:rsid w:val="67060279"/>
    <w:rsid w:val="6752699F"/>
    <w:rsid w:val="679C73DB"/>
    <w:rsid w:val="68513354"/>
    <w:rsid w:val="6B793615"/>
    <w:rsid w:val="6BA270B7"/>
    <w:rsid w:val="6BC43BD2"/>
    <w:rsid w:val="6CC91855"/>
    <w:rsid w:val="6EF15D18"/>
    <w:rsid w:val="72ED2C67"/>
    <w:rsid w:val="73A565D9"/>
    <w:rsid w:val="74DC42FB"/>
    <w:rsid w:val="75D9267B"/>
    <w:rsid w:val="773F3E26"/>
    <w:rsid w:val="776D2286"/>
    <w:rsid w:val="779D1297"/>
    <w:rsid w:val="78247109"/>
    <w:rsid w:val="7BFB0F25"/>
    <w:rsid w:val="7D307D27"/>
    <w:rsid w:val="7E653F8C"/>
    <w:rsid w:val="7EB6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1541</Words>
  <Characters>8788</Characters>
  <Lines>73</Lines>
  <Paragraphs>20</Paragraphs>
  <TotalTime>2</TotalTime>
  <ScaleCrop>false</ScaleCrop>
  <LinksUpToDate>false</LinksUpToDate>
  <CharactersWithSpaces>10309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2020-06-24T10:18:54Z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