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highlight w:val="none"/>
        </w:rPr>
      </w:pPr>
    </w:p>
    <w:p>
      <w:pPr>
        <w:rPr>
          <w:highlight w:val="none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highlight w:val="none"/>
          <w:lang w:eastAsia="zh-CN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highlight w:val="none"/>
          <w:lang w:eastAsia="zh-CN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highlight w:val="none"/>
          <w:lang w:eastAsia="zh-CN"/>
        </w:rPr>
        <w:t>民丰县农业农村和水利局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  <w:highlight w:val="none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highlight w:val="none"/>
          <w:lang w:val="en-US" w:eastAsia="zh-CN"/>
        </w:rPr>
        <w:t>2020年</w:t>
      </w:r>
      <w:r>
        <w:rPr>
          <w:rFonts w:hint="eastAsia" w:ascii="方正小标宋_GBK" w:hAnsi="宋体" w:eastAsia="方正小标宋_GBK"/>
          <w:kern w:val="0"/>
          <w:sz w:val="44"/>
          <w:szCs w:val="44"/>
          <w:highlight w:val="none"/>
        </w:rPr>
        <w:t>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  <w:highlight w:val="none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  <w:highlight w:val="none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  <w:highlight w:val="none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  <w:highlight w:val="none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  <w:highlight w:val="none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  <w:highlight w:val="none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  <w:highlight w:val="none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  <w:highlight w:val="none"/>
        </w:rPr>
      </w:pPr>
    </w:p>
    <w:p>
      <w:pPr>
        <w:widowControl/>
        <w:spacing w:before="100" w:beforeAutospacing="1" w:after="100" w:afterAutospacing="1"/>
        <w:jc w:val="both"/>
        <w:outlineLvl w:val="1"/>
        <w:rPr>
          <w:rFonts w:ascii="宋体" w:hAnsi="宋体"/>
          <w:b/>
          <w:kern w:val="0"/>
          <w:sz w:val="44"/>
          <w:szCs w:val="44"/>
          <w:highlight w:val="none"/>
        </w:rPr>
      </w:pPr>
    </w:p>
    <w:p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  <w:highlight w:val="none"/>
        </w:rPr>
      </w:pPr>
      <w:r>
        <w:rPr>
          <w:rFonts w:hint="eastAsia" w:ascii="黑体" w:hAnsi="黑体" w:eastAsia="黑体"/>
          <w:kern w:val="0"/>
          <w:sz w:val="36"/>
          <w:szCs w:val="32"/>
          <w:highlight w:val="none"/>
        </w:rPr>
        <w:t>目 录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 xml:space="preserve">第一部分 </w:t>
      </w: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  <w:lang w:eastAsia="zh-CN"/>
        </w:rPr>
        <w:t>民丰县农业农村和水利局</w:t>
      </w: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单位概况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 xml:space="preserve">第二部分 </w:t>
      </w: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年部门预算公开表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一、部门收支总体情况表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二、部门收入总体情况表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三、部门支出总体情况表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  <w:highlight w:val="none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 xml:space="preserve">第三部分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年部门预算情况说明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eastAsia="zh-CN"/>
        </w:rPr>
        <w:t>民丰县农业农村和水利局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eastAsia="zh-CN"/>
        </w:rPr>
        <w:t>民丰县农业农村和水利局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eastAsia="zh-CN"/>
        </w:rPr>
        <w:t>民丰县农业农村和水利局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  <w:highlight w:val="none"/>
        </w:rPr>
        <w:t>四、关于</w:t>
      </w:r>
      <w:r>
        <w:rPr>
          <w:rFonts w:hint="eastAsia" w:ascii="仿宋_GB2312" w:hAnsi="宋体" w:eastAsia="仿宋_GB2312"/>
          <w:bCs/>
          <w:kern w:val="0"/>
          <w:sz w:val="32"/>
          <w:szCs w:val="32"/>
          <w:highlight w:val="none"/>
          <w:lang w:eastAsia="zh-CN"/>
        </w:rPr>
        <w:t>民丰县农业农村和水利局</w:t>
      </w:r>
      <w:r>
        <w:rPr>
          <w:rFonts w:hint="eastAsia" w:ascii="仿宋_GB2312" w:hAnsi="宋体" w:eastAsia="仿宋_GB2312"/>
          <w:bCs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宋体" w:eastAsia="仿宋_GB2312"/>
          <w:bCs/>
          <w:kern w:val="0"/>
          <w:sz w:val="32"/>
          <w:szCs w:val="32"/>
          <w:highlight w:val="none"/>
        </w:rPr>
        <w:t>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eastAsia="zh-CN"/>
        </w:rPr>
        <w:t>民丰县农业农村和水利局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eastAsia="zh-CN"/>
        </w:rPr>
        <w:t>民丰县农业农村和水利局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eastAsia="zh-CN"/>
        </w:rPr>
        <w:t>民丰县农业农村和水利局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年项目支出情况说明</w:t>
      </w:r>
    </w:p>
    <w:p>
      <w:pPr>
        <w:widowControl/>
        <w:spacing w:line="460" w:lineRule="exact"/>
        <w:ind w:left="1278" w:leftChars="304" w:hanging="640" w:hangingChars="200"/>
        <w:outlineLvl w:val="1"/>
        <w:rPr>
          <w:rFonts w:hint="eastAsia"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eastAsia="zh-CN"/>
        </w:rPr>
        <w:t>民丰县农业农村和水利局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eastAsia="zh-CN"/>
        </w:rPr>
        <w:t>民丰县农业农村和水利局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第四部分  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br w:type="page"/>
      </w: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 xml:space="preserve">第一部分   </w:t>
      </w:r>
      <w:r>
        <w:rPr>
          <w:rFonts w:hint="eastAsia" w:ascii="黑体" w:hAnsi="黑体" w:eastAsia="黑体"/>
          <w:kern w:val="0"/>
          <w:sz w:val="32"/>
          <w:szCs w:val="32"/>
          <w:highlight w:val="none"/>
          <w:lang w:eastAsia="zh-CN"/>
        </w:rPr>
        <w:t>民丰县农业农村和水利局单位概况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  <w:highlight w:val="none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  <w:highlight w:val="none"/>
        </w:rPr>
        <w:t>一、主要职能</w:t>
      </w:r>
    </w:p>
    <w:p>
      <w:pPr>
        <w:widowControl/>
        <w:spacing w:line="560" w:lineRule="exact"/>
        <w:ind w:firstLine="960" w:firstLineChars="300"/>
        <w:jc w:val="left"/>
        <w:rPr>
          <w:rFonts w:hint="eastAsia" w:ascii="仿宋_GB2312" w:eastAsia="黑体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highlight w:val="non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略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  <w:highlight w:val="none"/>
        </w:rPr>
        <w:t>二、机构设置及人员情况</w:t>
      </w:r>
    </w:p>
    <w:p>
      <w:pPr>
        <w:widowControl/>
        <w:spacing w:beforeLines="50"/>
        <w:ind w:firstLine="643" w:firstLineChars="200"/>
        <w:jc w:val="left"/>
        <w:outlineLvl w:val="1"/>
        <w:rPr>
          <w:rFonts w:hint="eastAsia" w:ascii="仿宋_GB2312" w:hAnsi="宋体" w:eastAsia="黑体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  <w:highlight w:val="none"/>
        </w:rPr>
        <w:t xml:space="preserve"> 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  <w:highlight w:val="none"/>
          <w:lang w:val="en-US" w:eastAsia="zh-CN"/>
        </w:rPr>
        <w:t>略</w:t>
      </w: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br w:type="page"/>
      </w: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>年部门预算公开表</w:t>
      </w: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部门收支总体情况表</w:t>
      </w:r>
    </w:p>
    <w:p>
      <w:pPr>
        <w:widowControl/>
        <w:outlineLvl w:val="1"/>
        <w:rPr>
          <w:rFonts w:hint="eastAsia" w:ascii="仿宋_GB2312" w:hAnsi="宋体" w:eastAsia="仿宋_GB2312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kern w:val="0"/>
          <w:sz w:val="24"/>
          <w:highlight w:val="none"/>
        </w:rPr>
        <w:t>编制部门：</w:t>
      </w:r>
      <w:r>
        <w:rPr>
          <w:rFonts w:hint="eastAsia" w:ascii="仿宋_GB2312" w:hAnsi="宋体" w:eastAsia="仿宋_GB2312"/>
          <w:kern w:val="0"/>
          <w:sz w:val="24"/>
          <w:highlight w:val="none"/>
          <w:lang w:eastAsia="zh-CN"/>
        </w:rPr>
        <w:t>民丰县农业农村和水利局</w:t>
      </w:r>
      <w:r>
        <w:rPr>
          <w:rFonts w:hint="eastAsia" w:ascii="仿宋_GB2312" w:hAnsi="宋体" w:eastAsia="仿宋_GB2312"/>
          <w:kern w:val="0"/>
          <w:sz w:val="24"/>
          <w:highlight w:val="none"/>
        </w:rPr>
        <w:t xml:space="preserve">                           单位：万元</w:t>
      </w:r>
    </w:p>
    <w:tbl>
      <w:tblPr>
        <w:tblStyle w:val="7"/>
        <w:tblW w:w="86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支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3060.61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3060.61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 xml:space="preserve">203 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332.76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2727.85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3060.61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3060.61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3060.61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表二：</w:t>
      </w: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部门收入总体情况表</w:t>
      </w:r>
    </w:p>
    <w:p>
      <w:pPr>
        <w:widowControl/>
        <w:jc w:val="both"/>
        <w:outlineLvl w:val="1"/>
        <w:rPr>
          <w:rFonts w:ascii="仿宋_GB2312" w:hAnsi="宋体" w:eastAsia="仿宋_GB2312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kern w:val="0"/>
          <w:sz w:val="24"/>
          <w:highlight w:val="none"/>
        </w:rPr>
        <w:t xml:space="preserve">填报部门： </w:t>
      </w:r>
      <w:r>
        <w:rPr>
          <w:rFonts w:hint="eastAsia" w:ascii="仿宋_GB2312" w:hAnsi="宋体" w:eastAsia="仿宋_GB2312"/>
          <w:kern w:val="0"/>
          <w:sz w:val="24"/>
          <w:highlight w:val="none"/>
          <w:lang w:eastAsia="zh-CN"/>
        </w:rPr>
        <w:t>民丰县农业农村和水利局</w:t>
      </w:r>
      <w:r>
        <w:rPr>
          <w:rFonts w:hint="eastAsia" w:ascii="仿宋_GB2312" w:hAnsi="宋体" w:eastAsia="仿宋_GB2312"/>
          <w:kern w:val="0"/>
          <w:sz w:val="24"/>
          <w:highlight w:val="none"/>
        </w:rPr>
        <w:t xml:space="preserve">                   单位：万元</w:t>
      </w:r>
    </w:p>
    <w:tbl>
      <w:tblPr>
        <w:tblStyle w:val="7"/>
        <w:tblW w:w="9655" w:type="dxa"/>
        <w:tblInd w:w="-4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422"/>
        <w:gridCol w:w="495"/>
        <w:gridCol w:w="1635"/>
        <w:gridCol w:w="870"/>
        <w:gridCol w:w="1095"/>
        <w:gridCol w:w="465"/>
        <w:gridCol w:w="1"/>
        <w:gridCol w:w="679"/>
        <w:gridCol w:w="1"/>
        <w:gridCol w:w="679"/>
        <w:gridCol w:w="1"/>
        <w:gridCol w:w="679"/>
        <w:gridCol w:w="1"/>
        <w:gridCol w:w="679"/>
        <w:gridCol w:w="1"/>
        <w:gridCol w:w="679"/>
        <w:gridCol w:w="1"/>
        <w:gridCol w:w="677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10" w:hRule="atLeast"/>
        </w:trPr>
        <w:tc>
          <w:tcPr>
            <w:tcW w:w="1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功能分类科目编码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功能分类科目名称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总  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一般公共预算拨款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政府性基金预算拨款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财政专户管理资金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事业收入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事业单位经营收入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其他收入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用事业基金弥补收支差额</w:t>
            </w:r>
          </w:p>
        </w:tc>
        <w:tc>
          <w:tcPr>
            <w:tcW w:w="67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  <w:highlight w:val="none"/>
              </w:rPr>
              <w:t>单位上年结余（不包括国库集中支付额度结余）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类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款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项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7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213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农林水支出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2727.85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2727.85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农业农村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2727.85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2727.85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行政运行（农业）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2657.85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2657.85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99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农林水支出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70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70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208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社会保障和就业支出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 xml:space="preserve"> 332.76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 xml:space="preserve"> 332.76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行政事业单位养老支出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 xml:space="preserve"> 332.76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 xml:space="preserve"> 332.76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机关事业单位基本养老保险缴费支出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 xml:space="preserve"> 332.76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 xml:space="preserve"> 332.76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合计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3060.61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3060.61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br w:type="page"/>
      </w: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kern w:val="0"/>
          <w:sz w:val="24"/>
          <w:highlight w:val="none"/>
        </w:rPr>
        <w:t xml:space="preserve">编制部门： </w:t>
      </w:r>
      <w:r>
        <w:rPr>
          <w:rFonts w:hint="eastAsia" w:ascii="仿宋_GB2312" w:hAnsi="宋体" w:eastAsia="仿宋_GB2312"/>
          <w:kern w:val="0"/>
          <w:sz w:val="24"/>
          <w:highlight w:val="none"/>
          <w:lang w:eastAsia="zh-CN"/>
        </w:rPr>
        <w:t>民丰县农业农村和水利局</w:t>
      </w:r>
      <w:r>
        <w:rPr>
          <w:rFonts w:hint="eastAsia" w:ascii="仿宋_GB2312" w:hAnsi="宋体" w:eastAsia="仿宋_GB2312"/>
          <w:kern w:val="0"/>
          <w:sz w:val="24"/>
          <w:highlight w:val="none"/>
        </w:rPr>
        <w:t xml:space="preserve">                              单位：万元</w:t>
      </w:r>
    </w:p>
    <w:tbl>
      <w:tblPr>
        <w:tblStyle w:val="7"/>
        <w:tblW w:w="9420" w:type="dxa"/>
        <w:tblInd w:w="-2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480"/>
        <w:gridCol w:w="675"/>
        <w:gridCol w:w="2940"/>
        <w:gridCol w:w="1185"/>
        <w:gridCol w:w="1655"/>
        <w:gridCol w:w="19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项目</w:t>
            </w:r>
          </w:p>
        </w:tc>
        <w:tc>
          <w:tcPr>
            <w:tcW w:w="47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功能分类科目编码</w:t>
            </w:r>
          </w:p>
        </w:tc>
        <w:tc>
          <w:tcPr>
            <w:tcW w:w="2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功能分类科目名称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合计</w:t>
            </w:r>
          </w:p>
        </w:tc>
        <w:tc>
          <w:tcPr>
            <w:tcW w:w="16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>类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>款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>项</w:t>
            </w:r>
          </w:p>
        </w:tc>
        <w:tc>
          <w:tcPr>
            <w:tcW w:w="2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213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农林水支出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2727.85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2727.85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农业农村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2727.85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2727.85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01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行政运行（农业）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2657.85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2657.85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99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其他农业农村支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70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208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社会保障和就业支出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 xml:space="preserve"> 332.76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 xml:space="preserve"> 332.76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行政事业单位养老支出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 xml:space="preserve"> 332.76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 xml:space="preserve"> 332.76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机关事业单位基本养老保险缴费支出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 xml:space="preserve"> 332.76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 xml:space="preserve"> 332.76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3060.61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2990.61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70</w:t>
            </w:r>
          </w:p>
        </w:tc>
      </w:tr>
    </w:tbl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br w:type="page"/>
      </w: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表四：</w:t>
      </w:r>
    </w:p>
    <w:p>
      <w:pPr>
        <w:widowControl/>
        <w:spacing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财政拨款收支预算总体情况表</w:t>
      </w:r>
    </w:p>
    <w:p>
      <w:pPr>
        <w:widowControl/>
        <w:spacing w:beforeLines="50"/>
        <w:outlineLvl w:val="1"/>
        <w:rPr>
          <w:rFonts w:ascii="仿宋_GB2312" w:hAnsi="宋体" w:eastAsia="仿宋_GB2312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kern w:val="0"/>
          <w:sz w:val="28"/>
          <w:szCs w:val="28"/>
          <w:highlight w:val="none"/>
        </w:rPr>
        <w:t>编制部门：</w:t>
      </w:r>
      <w:r>
        <w:rPr>
          <w:rFonts w:hint="eastAsia" w:ascii="仿宋_GB2312" w:hAnsi="宋体" w:eastAsia="仿宋_GB2312"/>
          <w:kern w:val="0"/>
          <w:sz w:val="24"/>
          <w:highlight w:val="none"/>
          <w:lang w:eastAsia="zh-CN"/>
        </w:rPr>
        <w:t>民丰县农业农村和水利局</w:t>
      </w:r>
      <w:r>
        <w:rPr>
          <w:rFonts w:hint="eastAsia" w:ascii="仿宋_GB2312" w:hAnsi="宋体" w:eastAsia="仿宋_GB2312"/>
          <w:kern w:val="0"/>
          <w:sz w:val="24"/>
          <w:highlight w:val="none"/>
        </w:rPr>
        <w:t xml:space="preserve">   </w:t>
      </w:r>
      <w:r>
        <w:rPr>
          <w:rFonts w:hint="eastAsia" w:ascii="仿宋_GB2312" w:hAnsi="宋体" w:eastAsia="仿宋_GB2312"/>
          <w:kern w:val="0"/>
          <w:sz w:val="28"/>
          <w:szCs w:val="28"/>
          <w:highlight w:val="none"/>
        </w:rPr>
        <w:t xml:space="preserve">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highlight w:val="none"/>
        </w:rPr>
        <w:t>单位：万元</w:t>
      </w:r>
    </w:p>
    <w:tbl>
      <w:tblPr>
        <w:tblStyle w:val="7"/>
        <w:tblW w:w="9449" w:type="dxa"/>
        <w:tblInd w:w="-2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财政拨款支出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政府性基金预算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3060.61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3060.61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 xml:space="preserve">203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332.76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332.76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2727.85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2727.85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3060.61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3060.61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3060.6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表五：</w:t>
      </w:r>
    </w:p>
    <w:tbl>
      <w:tblPr>
        <w:tblStyle w:val="7"/>
        <w:tblW w:w="9214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一般公共预算支出情况表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（按明细科目填报）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highlight w:val="none"/>
                <w:lang w:eastAsia="zh-CN"/>
              </w:rPr>
              <w:t>民丰县农业农村和水利局</w:t>
            </w:r>
            <w:r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  <w:t xml:space="preserve">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一般公共预算支出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农林水支出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2727.85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2657.85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农业农村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2657.85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2657.85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行政运行（农业）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2657.85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2657.85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其他支出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70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332.76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332.76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行政事业单位养老支出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332.76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332.76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332.76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332.76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3060.61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2990.61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70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br w:type="page"/>
      </w: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表六：</w:t>
      </w:r>
    </w:p>
    <w:tbl>
      <w:tblPr>
        <w:tblStyle w:val="7"/>
        <w:tblW w:w="9328" w:type="dxa"/>
        <w:tblInd w:w="-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一般公共预算基本支出情况表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highlight w:val="none"/>
                <w:lang w:eastAsia="zh-CN"/>
              </w:rPr>
              <w:t>民丰县农业农村和水利局</w:t>
            </w:r>
            <w:r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  <w:t xml:space="preserve"> 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  <w:t>一般公共预算基本支出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2287.14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2287.15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 xml:space="preserve">  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502.39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502.39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 xml:space="preserve">  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1105.86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1105.86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 xml:space="preserve">  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38.76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38.76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508.12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508.12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 xml:space="preserve">  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132.01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132.02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215.8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215.7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 xml:space="preserve">  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19.09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19.08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 xml:space="preserve">  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 xml:space="preserve">  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 xml:space="preserve">  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30.45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91.59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91.59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 xml:space="preserve">  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 xml:space="preserve">  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25.72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 xml:space="preserve">  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23.14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23.14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487.76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487.76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 xml:space="preserve">  其他对个人和家庭的补助支出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487.76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487.76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2990.61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2774.91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215.7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br w:type="page"/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表七：</w:t>
      </w:r>
    </w:p>
    <w:tbl>
      <w:tblPr>
        <w:tblStyle w:val="7"/>
        <w:tblW w:w="9724" w:type="dxa"/>
        <w:tblInd w:w="-5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"/>
        <w:gridCol w:w="378"/>
        <w:gridCol w:w="480"/>
        <w:gridCol w:w="495"/>
        <w:gridCol w:w="68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516"/>
        <w:gridCol w:w="481"/>
        <w:gridCol w:w="420"/>
        <w:gridCol w:w="420"/>
        <w:gridCol w:w="389"/>
        <w:gridCol w:w="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2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项目支出情况表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2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highlight w:val="none"/>
                <w:lang w:eastAsia="zh-CN"/>
              </w:rPr>
              <w:t>民丰县农业农村和水利局</w:t>
            </w:r>
            <w:r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  <w:t xml:space="preserve">  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45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科 目 编 码</w:t>
            </w:r>
          </w:p>
        </w:tc>
        <w:tc>
          <w:tcPr>
            <w:tcW w:w="68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科目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资本性支出（基本建设）</w:t>
            </w:r>
          </w:p>
        </w:tc>
        <w:tc>
          <w:tcPr>
            <w:tcW w:w="51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资本性支出</w:t>
            </w:r>
          </w:p>
        </w:tc>
        <w:tc>
          <w:tcPr>
            <w:tcW w:w="48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类</w:t>
            </w:r>
          </w:p>
        </w:tc>
        <w:tc>
          <w:tcPr>
            <w:tcW w:w="4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款</w:t>
            </w:r>
          </w:p>
        </w:tc>
        <w:tc>
          <w:tcPr>
            <w:tcW w:w="49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项</w:t>
            </w:r>
          </w:p>
        </w:tc>
        <w:tc>
          <w:tcPr>
            <w:tcW w:w="68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1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1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0" w:type="dxa"/>
            <w:gridSpan w:val="2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213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80" w:type="dxa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5" w:type="dxa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农林水支出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　2013年游牧民定居建设项目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70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516" w:type="dxa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70</w:t>
            </w:r>
          </w:p>
        </w:tc>
        <w:tc>
          <w:tcPr>
            <w:tcW w:w="481" w:type="dxa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0" w:type="dxa"/>
            <w:gridSpan w:val="2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80" w:type="dxa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5" w:type="dxa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农业农村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　2013年游牧民定居建设项目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70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516" w:type="dxa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70</w:t>
            </w:r>
          </w:p>
        </w:tc>
        <w:tc>
          <w:tcPr>
            <w:tcW w:w="481" w:type="dxa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0" w:type="dxa"/>
            <w:gridSpan w:val="2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80" w:type="dxa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5" w:type="dxa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99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1" w:type="dxa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其他支出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　2013年游牧民定居建设项目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70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516" w:type="dxa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81" w:type="dxa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0" w:type="dxa"/>
            <w:gridSpan w:val="2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80" w:type="dxa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5" w:type="dxa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1" w:type="dxa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516" w:type="dxa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81" w:type="dxa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0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8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9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8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1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8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0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8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9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8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1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8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0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8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9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8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1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8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0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8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9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8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1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8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0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8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9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8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1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8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0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8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9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8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1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8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0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8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9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8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  <w:highlight w:val="none"/>
              </w:rPr>
              <w:t>合计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highlight w:val="none"/>
                <w:lang w:val="en-US" w:eastAsia="zh-CN"/>
              </w:rPr>
              <w:t>70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1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highlight w:val="none"/>
                <w:lang w:val="en-US" w:eastAsia="zh-CN"/>
              </w:rPr>
              <w:t>70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8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br w:type="page"/>
      </w: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kern w:val="0"/>
          <w:sz w:val="24"/>
          <w:highlight w:val="none"/>
        </w:rPr>
        <w:t>编制单位：</w:t>
      </w:r>
      <w:r>
        <w:rPr>
          <w:rFonts w:hint="eastAsia" w:ascii="仿宋_GB2312" w:hAnsi="宋体" w:eastAsia="仿宋_GB2312"/>
          <w:kern w:val="0"/>
          <w:sz w:val="24"/>
          <w:highlight w:val="none"/>
          <w:lang w:eastAsia="zh-CN"/>
        </w:rPr>
        <w:t>民丰县农业农村和水利局</w:t>
      </w:r>
      <w:r>
        <w:rPr>
          <w:rFonts w:hint="eastAsia" w:ascii="仿宋_GB2312" w:hAnsi="宋体" w:eastAsia="仿宋_GB2312"/>
          <w:kern w:val="0"/>
          <w:sz w:val="24"/>
          <w:highlight w:val="none"/>
        </w:rPr>
        <w:t xml:space="preserve">                                     单位：万元</w:t>
      </w:r>
    </w:p>
    <w:tbl>
      <w:tblPr>
        <w:tblStyle w:val="7"/>
        <w:tblW w:w="9240" w:type="dxa"/>
        <w:tblInd w:w="-1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公务接待费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91.59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91.59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91.59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br w:type="page"/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kern w:val="0"/>
          <w:sz w:val="24"/>
          <w:highlight w:val="none"/>
        </w:rPr>
        <w:t xml:space="preserve">编制单位： </w:t>
      </w:r>
      <w:r>
        <w:rPr>
          <w:rFonts w:hint="eastAsia" w:ascii="仿宋_GB2312" w:hAnsi="宋体" w:eastAsia="仿宋_GB2312"/>
          <w:kern w:val="0"/>
          <w:sz w:val="24"/>
          <w:highlight w:val="none"/>
          <w:lang w:eastAsia="zh-CN"/>
        </w:rPr>
        <w:t>民丰县农业农村和水利局</w:t>
      </w:r>
      <w:r>
        <w:rPr>
          <w:rFonts w:hint="eastAsia" w:ascii="仿宋_GB2312" w:hAnsi="宋体" w:eastAsia="仿宋_GB2312"/>
          <w:kern w:val="0"/>
          <w:sz w:val="24"/>
          <w:highlight w:val="none"/>
        </w:rPr>
        <w:t xml:space="preserve">                          单位：万元</w:t>
      </w:r>
    </w:p>
    <w:tbl>
      <w:tblPr>
        <w:tblStyle w:val="7"/>
        <w:tblW w:w="9214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  <w:highlight w:val="none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  <w:lang w:eastAsia="zh-CN"/>
        </w:rPr>
        <w:t>备注：本单位无</w:t>
      </w: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政府性基金预算支</w:t>
      </w: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  <w:lang w:eastAsia="zh-CN"/>
        </w:rPr>
        <w:t>出。</w:t>
      </w:r>
    </w:p>
    <w:p>
      <w:pPr>
        <w:widowControl w:val="0"/>
        <w:spacing w:before="0" w:line="560" w:lineRule="exact"/>
        <w:jc w:val="center"/>
        <w:outlineLvl w:val="9"/>
        <w:rPr>
          <w:rFonts w:hint="eastAsia" w:ascii="黑体" w:hAnsi="黑体" w:eastAsia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 xml:space="preserve">第三部分  </w:t>
      </w:r>
      <w:r>
        <w:rPr>
          <w:rFonts w:hint="eastAsia" w:ascii="黑体" w:hAnsi="黑体" w:eastAsia="黑体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>年部门预算情况说明</w:t>
      </w:r>
    </w:p>
    <w:p>
      <w:pPr>
        <w:widowControl w:val="0"/>
        <w:spacing w:before="0" w:line="560" w:lineRule="exact"/>
        <w:jc w:val="center"/>
        <w:outlineLvl w:val="9"/>
        <w:rPr>
          <w:rFonts w:ascii="黑体" w:hAnsi="黑体" w:eastAsia="黑体"/>
          <w:kern w:val="0"/>
          <w:sz w:val="32"/>
          <w:szCs w:val="32"/>
          <w:highlight w:val="none"/>
        </w:rPr>
      </w:pP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highlight w:val="none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  <w:lang w:eastAsia="zh-CN"/>
        </w:rPr>
        <w:t>民丰县农业农村和水利局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年收支预算情况的总体说明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民丰县农业农村和水利局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年所有收入和支出均纳入部门预算管理。收支总预算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3060.61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收入预算包括：一般公共预算。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支出预算包括：社会保障和就业支出、农林水支出。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  <w:lang w:eastAsia="zh-CN"/>
        </w:rPr>
        <w:t>民丰县农业农村和水利局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年收入预算情况说明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民丰县农业农村和水利局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收入预算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3060.61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元，其中：一般公共预算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3060.61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 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419.47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农经局和农机局合并了农业农村和水利局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；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政府性基金预算未安排。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黑体" w:hAnsi="宋体" w:eastAsia="黑体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  <w:lang w:eastAsia="zh-CN"/>
        </w:rPr>
        <w:t>民丰县农业农村和水利局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单位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年支出预算情况说明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民丰县农业农村和水利局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年支出预算 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3060.61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元，其中：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基本支出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2990.61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万元，占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97.7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1064.29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农经局和农机局合并了农业农村和水利局，基本支出有所增加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项目支出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70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万元，占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2.3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增加70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预算做了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2013年游牧民定居建设项目债务。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黑体" w:eastAsia="黑体" w:cs="宋体"/>
          <w:bCs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highlight w:val="none"/>
        </w:rPr>
        <w:t>四、关于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highlight w:val="none"/>
          <w:lang w:eastAsia="zh-CN"/>
        </w:rPr>
        <w:t>民丰县农业农村和水利局</w:t>
      </w:r>
      <w:r>
        <w:rPr>
          <w:rFonts w:hint="eastAsia" w:ascii="黑体" w:hAnsi="黑体" w:eastAsia="黑体" w:cs="宋体"/>
          <w:bCs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黑体" w:hAnsi="黑体" w:eastAsia="黑体" w:cs="宋体"/>
          <w:bCs/>
          <w:kern w:val="0"/>
          <w:sz w:val="32"/>
          <w:szCs w:val="32"/>
          <w:highlight w:val="none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年财政拨款收支总预算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3060.61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收入全部为一般公共预算，无政府性基金预算拨款。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支出预算拨款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宋体" w:eastAsia="仿宋_GB2312" w:cs="宋体"/>
          <w:color w:val="auto"/>
          <w:kern w:val="0"/>
          <w:sz w:val="18"/>
          <w:szCs w:val="18"/>
          <w:highlight w:val="none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社会保障和就业支出332.76万元，主要用于机关事业单位基本养老保险缴费支出； 农林水支出2727.85万元。主要用于工资福利支出，商品服务支出，对个人和家庭的补助支出。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五、关于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  <w:lang w:eastAsia="zh-CN"/>
        </w:rPr>
        <w:t>民丰县农业农村和水利局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年一般公共预算当年拨款情况说明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  <w:highlight w:val="none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民丰县农业农村和水利局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年一般公共预算拨款基本支出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2990.61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1171.16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64.3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%。主要原因是：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水利局，农经局，农业局合并了农业农村和水利局。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  <w:highlight w:val="none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1.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农林水支出</w:t>
      </w:r>
      <w:r>
        <w:rPr>
          <w:rFonts w:hint="eastAsia" w:ascii="仿宋_GB2312" w:eastAsia="仿宋_GB2312"/>
          <w:sz w:val="32"/>
          <w:szCs w:val="32"/>
          <w:highlight w:val="none"/>
        </w:rPr>
        <w:t>（类）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2727.85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 xml:space="preserve"> 万元，占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89.1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 xml:space="preserve"> %。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2.社会保障和就业支出（类）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332.76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 xml:space="preserve">万元，占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10.9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 xml:space="preserve"> %。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  <w:highlight w:val="none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1.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2130101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农林水支出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（类）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农业农村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（款）行政运行（项）: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年预算数为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2657.85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比上年执行数增加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1272.55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 万元，增长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91.8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 %，主要原因是：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水利局，农经局，农业局合并了农业农村和水利局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2.2130199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农林水支出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（类）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农业农村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（款）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2013年游牧民定居建设项目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（项）: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年预算数为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70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比上年执行数增加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70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 万元，增长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 %，主要原因是：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2020年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预算做了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2013年游牧民定居建设项目。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  <w:highlight w:val="none"/>
        </w:rPr>
        <w:t>2.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2080505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社会保障和就业支出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（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类）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行政事业单位离退休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机关事业单位基本养老保险缴费支出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（项）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年预算数为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332.76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比上年执行数增加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153.35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  万元，增长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85.4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 %，主要原因是：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水利局，农经局，农业局合并了农业农村和水利局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  <w:lang w:eastAsia="zh-CN"/>
        </w:rPr>
        <w:t>民丰县农业农村和水利局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年一般公共预算基本支出情况说明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民丰县农业农村和水利局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年一般公共预算基本支出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2990.61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 其中：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2774.91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万元，主要包括：基本工资、津贴补贴、奖金、其他社会保障缴费、住房公积金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等。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公用经费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215.7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万元，主要包括：办公费、咨询费、水费、电费、邮电费、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交通费、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取暖费、差旅费、工会经费、福利费等。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黑体" w:hAnsi="宋体" w:eastAsia="黑体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  <w:lang w:eastAsia="zh-CN"/>
        </w:rPr>
        <w:t>民丰县农业农村和水利局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年项目支出情况说明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黑体" w:eastAsia="仿宋_GB2312"/>
          <w:sz w:val="32"/>
          <w:szCs w:val="32"/>
          <w:highlight w:val="none"/>
        </w:rPr>
      </w:pP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项目</w:t>
      </w:r>
      <w:r>
        <w:rPr>
          <w:rFonts w:ascii="仿宋_GB2312" w:hAnsi="黑体" w:eastAsia="仿宋_GB2312"/>
          <w:sz w:val="32"/>
          <w:szCs w:val="32"/>
          <w:highlight w:val="none"/>
        </w:rPr>
        <w:t>名称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2013年游牧民定居建设项目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黑体" w:eastAsia="仿宋_GB2312"/>
          <w:sz w:val="32"/>
          <w:szCs w:val="32"/>
          <w:highlight w:val="none"/>
        </w:rPr>
      </w:pPr>
      <w:r>
        <w:rPr>
          <w:rFonts w:ascii="仿宋_GB2312" w:hAnsi="黑体" w:eastAsia="仿宋_GB2312"/>
          <w:sz w:val="32"/>
          <w:szCs w:val="32"/>
          <w:highlight w:val="none"/>
        </w:rPr>
        <w:t>设立的政策依据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《关于切实加强游牧民定居工程配套设施建设管理工作的通知》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ascii="仿宋_GB2312" w:hAnsi="黑体" w:eastAsia="仿宋_GB2312"/>
          <w:sz w:val="32"/>
          <w:szCs w:val="32"/>
          <w:highlight w:val="none"/>
        </w:rPr>
        <w:t>预算安排规模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0万元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项目承担单位：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民丰县农业农村和水利局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资金分配情况：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财政拨款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70万元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_GB2312" w:hAnsi="黑体" w:eastAsia="仿宋_GB2312"/>
          <w:sz w:val="32"/>
          <w:szCs w:val="32"/>
          <w:highlight w:val="none"/>
        </w:rPr>
        <w:t>资金执行时间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2020年1月-12月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1"/>
        </w:numPr>
        <w:spacing w:line="560" w:lineRule="exact"/>
        <w:ind w:firstLine="640" w:firstLineChars="200"/>
        <w:jc w:val="both"/>
        <w:rPr>
          <w:rFonts w:hint="eastAsia" w:ascii="黑体" w:hAnsi="宋体" w:eastAsia="黑体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  <w:lang w:eastAsia="zh-CN"/>
        </w:rPr>
        <w:t>民丰县农业农村和水利局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年一般公共预算“三公”经费预算情况说明</w:t>
      </w:r>
    </w:p>
    <w:p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民丰县农业农村和水利局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年“三公”经费财政拨款预算数为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91.59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万元，其中：因公出国（境）费 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  万元，公务用车购置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万元，公务用车运行费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91.59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万元，公务接待费 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年“三公”经费财政拨款预算比上年增加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86.18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  万元，其中：因公出国（境）费增加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万元，主要原因是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；公务用车购置费为0，未安排预算。公务用车运行费增加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86.18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万元，主要原因是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水利局，农经局，农业局合并了农业农村和水利局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；公务接待费增加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0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万元，主要原因是 未安排预算。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  <w:lang w:eastAsia="zh-CN"/>
        </w:rPr>
        <w:t>民丰县农业农村和水利局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年政府性基金预算拨款情况说明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民丰县农业农村和水利局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年没有使用政府性基金预算拨款安排的支出，政府性基金预算支出情况表为空表。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十、其他重要事项的情况说明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  <w:highlight w:val="none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民丰县农业农村和水利局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本级及下属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家行政单位和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家事业单位的机关运行经费财政拨款预算    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215.7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万元，比上年预算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108.33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100.89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今年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水利局，农经局，农业局合并了农业农村和水利局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widowControl w:val="0"/>
        <w:spacing w:line="560" w:lineRule="exact"/>
        <w:ind w:firstLine="643" w:firstLineChars="200"/>
        <w:jc w:val="both"/>
        <w:rPr>
          <w:rFonts w:hint="eastAsia" w:ascii="楷体_GB2312" w:hAnsi="宋体" w:eastAsia="楷体_GB2312" w:cs="宋体"/>
          <w:b/>
          <w:kern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  <w:highlight w:val="none"/>
        </w:rPr>
        <w:t>（二）政府采购情况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民丰县农业农村和水利局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及下属单位政府采购预算 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万元，其中：政府采购货物预算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 万元，政府采购工程预算 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 万元，政府采购服务预算 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 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>2020</w:t>
      </w:r>
      <w:r>
        <w:rPr>
          <w:rFonts w:hint="eastAsia" w:ascii="仿宋_GB2312" w:hAnsi="仿宋_GB2312" w:eastAsia="仿宋_GB2312"/>
          <w:sz w:val="32"/>
          <w:highlight w:val="none"/>
        </w:rPr>
        <w:t>年度本部门面向中小企业预留政府采购项目预算金额</w:t>
      </w: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  <w:highlight w:val="none"/>
        </w:rPr>
        <w:t>万元，其中：面向小微企业预留政府采购项目预算金额</w:t>
      </w: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  <w:highlight w:val="none"/>
        </w:rPr>
        <w:t>万元。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  <w:highlight w:val="none"/>
        </w:rPr>
        <w:t>（三）国有资产占用使用情况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  <w:highlight w:val="none"/>
          <w:lang w:eastAsia="zh-CN"/>
        </w:rPr>
        <w:t>（以下内容不要删减，参考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  <w:highlight w:val="none"/>
          <w:lang w:val="en-US" w:eastAsia="zh-CN"/>
        </w:rPr>
        <w:t>2019年部门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  <w:highlight w:val="none"/>
          <w:lang w:eastAsia="zh-CN"/>
        </w:rPr>
        <w:t>决算数据）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民丰县农业农村和水利局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及下属各预算单位占用使用国有资产总体情况为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：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1.房屋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3603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 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20193.47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2.车辆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  辆，价值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109.88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 万元；其中：一般公务用车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辆，价值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109.88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 万元；执法执勤用车 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辆，价值 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万元；其他车辆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辆，价值 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3.办公家具价值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183.44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 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4.其他资产价值 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台（套）。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年部门预算未安排购置车辆经费，安排购置50万元以上大型设备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台（套）。</w:t>
      </w:r>
    </w:p>
    <w:p>
      <w:pPr>
        <w:widowControl w:val="0"/>
        <w:spacing w:line="560" w:lineRule="exact"/>
        <w:ind w:firstLine="643" w:firstLineChars="200"/>
        <w:jc w:val="both"/>
        <w:rPr>
          <w:rFonts w:hint="default" w:ascii="楷体_GB2312" w:hAnsi="宋体" w:eastAsia="楷体_GB2312" w:cs="宋体"/>
          <w:b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  <w:highlight w:val="none"/>
        </w:rPr>
        <w:t>（四）预算绩效情况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年度，本年度实行绩效管理的项目 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个，涉及预算金额  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70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 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pgNumType w:fmt="numberInDash" w:start="24"/>
          <w:cols w:space="720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  <w:highlight w:val="none"/>
              </w:rPr>
              <w:t>项  目  支  出  绩  效  目  标 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民丰县农业农村和水利局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2013年游牧民定居项目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目标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1：计划为2013年游牧民定居建设项目偿还债务70万元。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目标2：我单位将及时偿还债务，以保障债权人权益。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偿还债务金额　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70万元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75"/>
                <w:tab w:val="center" w:pos="1928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ab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ab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偿还及时率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1075"/>
                <w:tab w:val="center" w:pos="1928"/>
              </w:tabs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≥85%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ab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偿还债务起止时间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2020年1月-2020年12月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债务退还项目数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≥85%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ab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债务偿还完成率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推动畜牧业发展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有效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政府公信力持续增强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明显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促进牧区游牧民游牧生产和生活方式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≥85%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保护草原生态环境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%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债权人满意度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≥90%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  <w:highlight w:val="none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32"/>
          <w:cols w:space="720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  <w:highlight w:val="none"/>
        </w:rPr>
        <w:t>（五）其他需说明的事项</w:t>
      </w:r>
    </w:p>
    <w:p>
      <w:pPr>
        <w:widowControl/>
        <w:spacing w:line="520" w:lineRule="exact"/>
        <w:ind w:firstLine="964" w:firstLineChars="30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highlight w:val="none"/>
          <w:lang w:eastAsia="zh-CN"/>
        </w:rPr>
        <w:t>无</w:t>
      </w:r>
    </w:p>
    <w:p>
      <w:pPr>
        <w:widowControl/>
        <w:spacing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>第四部分  名词解释</w:t>
      </w:r>
    </w:p>
    <w:p>
      <w:pPr>
        <w:widowControl/>
        <w:spacing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  <w:highlight w:val="none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一、财政拨款：</w:t>
      </w:r>
      <w:r>
        <w:rPr>
          <w:rFonts w:hint="eastAsia" w:ascii="仿宋_GB2312" w:eastAsia="仿宋_GB2312"/>
          <w:sz w:val="32"/>
          <w:szCs w:val="32"/>
          <w:highlight w:val="none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  <w:highlight w:val="none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三</w:t>
      </w:r>
      <w:r>
        <w:rPr>
          <w:rFonts w:hint="eastAsia" w:ascii="黑体" w:hAnsi="黑体" w:eastAsia="黑体"/>
          <w:sz w:val="32"/>
          <w:szCs w:val="32"/>
          <w:highlight w:val="none"/>
        </w:rPr>
        <w:t>、基本支出：</w:t>
      </w:r>
      <w:r>
        <w:rPr>
          <w:rFonts w:hint="eastAsia" w:ascii="仿宋_GB2312" w:eastAsia="仿宋_GB2312"/>
          <w:sz w:val="32"/>
          <w:szCs w:val="32"/>
          <w:highlight w:val="none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  <w:highlight w:val="none"/>
        </w:rPr>
        <w:t>、项目支出：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民丰县农业农村和水利局</w:t>
      </w:r>
      <w:r>
        <w:rPr>
          <w:rFonts w:hint="eastAsia" w:ascii="仿宋_GB2312" w:eastAsia="仿宋_GB2312"/>
          <w:sz w:val="32"/>
          <w:szCs w:val="32"/>
          <w:highlight w:val="none"/>
        </w:rPr>
        <w:t>支出预算的组成部分，是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民丰县农业农村和水利局</w:t>
      </w:r>
      <w:r>
        <w:rPr>
          <w:rFonts w:hint="eastAsia" w:ascii="仿宋_GB2312" w:eastAsia="仿宋_GB2312"/>
          <w:sz w:val="32"/>
          <w:szCs w:val="32"/>
          <w:highlight w:val="none"/>
        </w:rPr>
        <w:t>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  <w:highlight w:val="none"/>
        </w:rPr>
        <w:t>、“三公”经费：</w:t>
      </w:r>
      <w:r>
        <w:rPr>
          <w:rFonts w:hint="eastAsia" w:ascii="仿宋_GB2312" w:eastAsia="仿宋_GB2312"/>
          <w:sz w:val="32"/>
          <w:szCs w:val="32"/>
          <w:highlight w:val="none"/>
        </w:rPr>
        <w:t>指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民丰县农业农村和水利局</w:t>
      </w:r>
      <w:r>
        <w:rPr>
          <w:rFonts w:hint="eastAsia" w:ascii="仿宋_GB2312" w:eastAsia="仿宋_GB2312"/>
          <w:sz w:val="32"/>
          <w:szCs w:val="32"/>
          <w:highlight w:val="none"/>
        </w:rPr>
        <w:t>用公务用车购置及运行费和公务接待费。其中，公务用车购置及运行费指单位公务用车购置费及租用费、燃料费、维修费支出。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六</w:t>
      </w:r>
      <w:r>
        <w:rPr>
          <w:rFonts w:hint="eastAsia" w:ascii="黑体" w:hAnsi="黑体" w:eastAsia="黑体"/>
          <w:sz w:val="32"/>
          <w:szCs w:val="32"/>
          <w:highlight w:val="none"/>
        </w:rPr>
        <w:t>、机关运行经费：</w:t>
      </w:r>
      <w:r>
        <w:rPr>
          <w:rFonts w:hint="eastAsia" w:ascii="仿宋_GB2312" w:eastAsia="仿宋_GB2312"/>
          <w:sz w:val="32"/>
          <w:szCs w:val="32"/>
          <w:highlight w:val="none"/>
        </w:rPr>
        <w:t>指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民丰县农业农村和水利局</w:t>
      </w:r>
      <w:r>
        <w:rPr>
          <w:rFonts w:hint="eastAsia" w:ascii="仿宋_GB2312" w:eastAsia="仿宋_GB2312"/>
          <w:sz w:val="32"/>
          <w:szCs w:val="32"/>
          <w:highlight w:val="none"/>
        </w:rPr>
        <w:t>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   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民丰县农业农村和水利局</w:t>
      </w:r>
    </w:p>
    <w:p>
      <w:pPr>
        <w:widowControl/>
        <w:spacing w:line="520" w:lineRule="exact"/>
        <w:jc w:val="left"/>
        <w:rPr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5 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15 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日</w:t>
      </w:r>
    </w:p>
    <w:sectPr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A93713"/>
    <w:multiLevelType w:val="singleLevel"/>
    <w:tmpl w:val="9DA93713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73BE1741"/>
    <w:rsid w:val="78C1541D"/>
    <w:rsid w:val="7A7D1951"/>
    <w:rsid w:val="7B9535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9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0"/>
    <w:rPr>
      <w:rFonts w:cs="Times New Roman"/>
      <w:b/>
      <w:bCs/>
    </w:rPr>
  </w:style>
  <w:style w:type="character" w:styleId="10">
    <w:name w:val="page number"/>
    <w:basedOn w:val="8"/>
    <w:qFormat/>
    <w:uiPriority w:val="0"/>
  </w:style>
  <w:style w:type="paragraph" w:customStyle="1" w:styleId="11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3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4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15">
    <w:name w:val="普通(网站)3"/>
    <w:basedOn w:val="1"/>
    <w:qFormat/>
    <w:uiPriority w:val="0"/>
    <w:rPr>
      <w:rFonts w:ascii="Calibri" w:hAnsi="Calibri" w:cs="黑体"/>
      <w:sz w:val="24"/>
    </w:rPr>
  </w:style>
  <w:style w:type="character" w:customStyle="1" w:styleId="16">
    <w:name w:val="页脚 Char Char"/>
    <w:basedOn w:val="8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character" w:customStyle="1" w:styleId="17">
    <w:name w:val="批注框文本 Char Char"/>
    <w:basedOn w:val="8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眉 Char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正文文本缩进 3 Char Char"/>
    <w:basedOn w:val="8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1575</Words>
  <Characters>8978</Characters>
  <Lines>74</Lines>
  <Paragraphs>21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2019-01-15T10:37:00Z</dcterms:created>
  <dc:creator>王怡</dc:creator>
  <cp:lastModifiedBy>^_^玫瑰人生^_^</cp:lastModifiedBy>
  <dcterms:modified xsi:type="dcterms:W3CDTF">2020-06-24T10:15:49Z</dcterms:modified>
  <dc:title>民丰县农业农村和水利局部门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