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98/</w:t>
      </w:r>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jc w:val="center"/>
        <w:outlineLvl w:val="1"/>
        <w:rPr>
          <w:rFonts w:ascii="宋体" w:cs="宋体"/>
          <w:b/>
          <w:bCs/>
          <w:kern w:val="0"/>
          <w:sz w:val="44"/>
          <w:szCs w:val="44"/>
        </w:rPr>
      </w:pPr>
      <w:r>
        <w:rPr>
          <w:rFonts w:hint="eastAsia" w:ascii="宋体" w:cs="宋体"/>
          <w:b/>
          <w:bCs/>
          <w:kern w:val="0"/>
          <w:sz w:val="44"/>
          <w:szCs w:val="44"/>
        </w:rPr>
        <w:t>民丰县尼雅乡人民卫生院</w:t>
      </w:r>
    </w:p>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t>2020</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民丰县尼雅乡人民卫生院单位概况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一、民丰县尼雅乡人民卫生院收支总体情况表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二、民丰县尼雅乡人民卫生院收入总体情况表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三、民丰县尼雅乡人民卫生院支出总体情况表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ascii="仿宋_GB2312" w:hAnsi="宋体" w:eastAsia="仿宋_GB2312"/>
          <w:b/>
          <w:kern w:val="0"/>
          <w:sz w:val="32"/>
          <w:szCs w:val="32"/>
        </w:rPr>
        <w:t xml:space="preserve">  2020</w:t>
      </w:r>
      <w:r>
        <w:rPr>
          <w:rFonts w:hint="eastAsia" w:ascii="仿宋_GB2312" w:hAnsi="宋体" w:eastAsia="仿宋_GB2312"/>
          <w:b/>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一、关于民丰县尼雅乡人民卫生院2020年收支预算情况的总体说明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二、关于民丰县尼雅乡人民卫生院2020年收入预算情况说明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三、关于民丰县尼雅乡人民卫生院2020年支出预算情况说明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四、关于民丰县尼雅乡人民卫生院2020年财政拨款收支预算情况的总体说明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五、关于民丰县尼雅乡人民卫生院2020年一般公共预算当年拨款情况说明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六、关于民丰县尼雅乡人民卫生院2020年一般公共预算基本支出情况说明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七、关于民丰县尼雅乡人民卫生院2020年项目支出情况说明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八、关于民丰县尼雅乡人民卫生院2020年一般公共预算“三公”经费预算情况说明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九、关于民丰县尼雅乡人民卫生院2020年政府性基金预算拨款情况说明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ascii="黑体" w:hAnsi="黑体" w:eastAsia="黑体" w:cs="宋体"/>
          <w:bCs/>
          <w:kern w:val="0"/>
          <w:sz w:val="32"/>
          <w:szCs w:val="32"/>
        </w:rPr>
        <w:t xml:space="preserve">   </w:t>
      </w: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黑体" w:hAnsi="黑体" w:eastAsia="黑体"/>
          <w:kern w:val="0"/>
          <w:sz w:val="32"/>
          <w:szCs w:val="32"/>
        </w:rPr>
        <w:t>民丰县尼雅乡人民卫生院单位概况</w:t>
      </w:r>
    </w:p>
    <w:p>
      <w:pPr>
        <w:widowControl/>
        <w:jc w:val="center"/>
        <w:outlineLvl w:val="1"/>
        <w:rPr>
          <w:rFonts w:asci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hint="eastAsia" w:ascii="黑体" w:hAnsi="黑体" w:eastAsia="黑体" w:cs="宋体"/>
          <w:bCs/>
          <w:kern w:val="0"/>
          <w:sz w:val="32"/>
          <w:szCs w:val="32"/>
          <w:lang w:val="en-US" w:eastAsia="zh-CN"/>
        </w:rPr>
      </w:pPr>
      <w:r>
        <w:rPr>
          <w:rFonts w:hint="eastAsia" w:ascii="黑体" w:hAnsi="黑体" w:eastAsia="黑体" w:cs="宋体"/>
          <w:bCs/>
          <w:kern w:val="0"/>
          <w:sz w:val="32"/>
          <w:szCs w:val="32"/>
          <w:lang w:val="en-US" w:eastAsia="zh-CN"/>
        </w:rPr>
        <w:t>略</w:t>
      </w:r>
    </w:p>
    <w:p>
      <w:pPr>
        <w:widowControl/>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line="560" w:lineRule="exact"/>
        <w:jc w:val="left"/>
        <w:rPr>
          <w:rFonts w:hint="eastAsia" w:ascii="黑体" w:hAnsi="黑体" w:eastAsia="黑体" w:cs="宋体"/>
          <w:bCs/>
          <w:kern w:val="0"/>
          <w:sz w:val="32"/>
          <w:szCs w:val="32"/>
          <w:lang w:val="en-US" w:eastAsia="zh-CN"/>
        </w:rPr>
      </w:pPr>
      <w:r>
        <w:rPr>
          <w:rFonts w:hint="eastAsia" w:ascii="黑体" w:hAnsi="黑体" w:eastAsia="黑体" w:cs="宋体"/>
          <w:bCs/>
          <w:kern w:val="0"/>
          <w:sz w:val="32"/>
          <w:szCs w:val="32"/>
          <w:lang w:val="en-US" w:eastAsia="zh-CN"/>
        </w:rPr>
        <w:t>略</w:t>
      </w:r>
    </w:p>
    <w:p>
      <w:pPr>
        <w:widowControl/>
        <w:spacing w:before="120" w:beforeLines="50"/>
        <w:outlineLvl w:val="1"/>
        <w:rPr>
          <w:rFonts w:ascii="黑体" w:hAnsi="黑体" w:eastAsia="黑体"/>
          <w:kern w:val="0"/>
          <w:sz w:val="32"/>
          <w:szCs w:val="32"/>
        </w:rPr>
      </w:pPr>
    </w:p>
    <w:p>
      <w:pPr>
        <w:widowControl/>
        <w:spacing w:before="120" w:beforeLines="50"/>
        <w:outlineLvl w:val="1"/>
        <w:rPr>
          <w:rFonts w:ascii="黑体" w:hAnsi="黑体" w:eastAsia="黑体"/>
          <w:kern w:val="0"/>
          <w:sz w:val="32"/>
          <w:szCs w:val="32"/>
        </w:rPr>
      </w:pPr>
    </w:p>
    <w:p>
      <w:pPr>
        <w:widowControl/>
        <w:spacing w:before="120" w:beforeLines="50"/>
        <w:outlineLvl w:val="1"/>
        <w:rPr>
          <w:rFonts w:ascii="黑体" w:hAnsi="黑体" w:eastAsia="黑体"/>
          <w:kern w:val="0"/>
          <w:sz w:val="32"/>
          <w:szCs w:val="32"/>
        </w:rPr>
      </w:pPr>
    </w:p>
    <w:p>
      <w:pPr>
        <w:widowControl/>
        <w:spacing w:before="120" w:beforeLines="50"/>
        <w:outlineLvl w:val="1"/>
        <w:rPr>
          <w:rFonts w:ascii="黑体" w:hAnsi="黑体" w:eastAsia="黑体"/>
          <w:kern w:val="0"/>
          <w:sz w:val="32"/>
          <w:szCs w:val="32"/>
        </w:rPr>
      </w:pPr>
    </w:p>
    <w:p>
      <w:pPr>
        <w:widowControl/>
        <w:spacing w:before="120" w:beforeLines="50"/>
        <w:outlineLvl w:val="1"/>
        <w:rPr>
          <w:rFonts w:ascii="黑体" w:hAnsi="黑体" w:eastAsia="黑体"/>
          <w:kern w:val="0"/>
          <w:sz w:val="32"/>
          <w:szCs w:val="32"/>
        </w:rPr>
      </w:pPr>
    </w:p>
    <w:p>
      <w:pPr>
        <w:widowControl/>
        <w:spacing w:before="120" w:beforeLines="50"/>
        <w:outlineLvl w:val="1"/>
        <w:rPr>
          <w:rFonts w:ascii="黑体" w:hAnsi="黑体" w:eastAsia="黑体"/>
          <w:kern w:val="0"/>
          <w:sz w:val="32"/>
          <w:szCs w:val="32"/>
        </w:rPr>
      </w:pPr>
    </w:p>
    <w:p>
      <w:pPr>
        <w:widowControl/>
        <w:spacing w:before="120" w:beforeLines="50"/>
        <w:outlineLvl w:val="1"/>
        <w:rPr>
          <w:rFonts w:ascii="黑体" w:hAnsi="黑体" w:eastAsia="黑体"/>
          <w:kern w:val="0"/>
          <w:sz w:val="32"/>
          <w:szCs w:val="32"/>
        </w:rPr>
      </w:pPr>
    </w:p>
    <w:p>
      <w:pPr>
        <w:widowControl/>
        <w:spacing w:before="120" w:beforeLines="50"/>
        <w:outlineLvl w:val="1"/>
        <w:rPr>
          <w:rFonts w:ascii="黑体" w:hAnsi="黑体" w:eastAsia="黑体"/>
          <w:kern w:val="0"/>
          <w:sz w:val="32"/>
          <w:szCs w:val="32"/>
        </w:rPr>
      </w:pPr>
    </w:p>
    <w:p>
      <w:pPr>
        <w:widowControl/>
        <w:spacing w:before="120" w:beforeLines="50"/>
        <w:outlineLvl w:val="1"/>
        <w:rPr>
          <w:rFonts w:ascii="黑体" w:hAnsi="黑体" w:eastAsia="黑体"/>
          <w:kern w:val="0"/>
          <w:sz w:val="32"/>
          <w:szCs w:val="32"/>
        </w:rPr>
      </w:pPr>
    </w:p>
    <w:p>
      <w:pPr>
        <w:widowControl/>
        <w:spacing w:before="120" w:beforeLines="50"/>
        <w:outlineLvl w:val="1"/>
        <w:rPr>
          <w:rFonts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编制部门：民丰县尼雅乡人民卫生院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769.88</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769.88</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highlight w:val="red"/>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highlight w:val="red"/>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highlight w:val="red"/>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highlight w:val="red"/>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highlight w:val="red"/>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highlight w:val="red"/>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highlight w:val="red"/>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highlight w:val="red"/>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highlight w:val="red"/>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highlight w:val="red"/>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highlight w:val="red"/>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highlight w:val="red"/>
              </w:rPr>
            </w:pPr>
            <w:r>
              <w:rPr>
                <w:rFonts w:ascii="仿宋_GB2312" w:hAnsi="宋体" w:eastAsia="仿宋_GB2312" w:cs="宋体"/>
                <w:kern w:val="0"/>
                <w:sz w:val="18"/>
                <w:szCs w:val="18"/>
              </w:rPr>
              <w:t>105.18</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highlight w:val="red"/>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highlight w:val="red"/>
              </w:rPr>
            </w:pPr>
            <w:r>
              <w:rPr>
                <w:rFonts w:ascii="仿宋_GB2312" w:hAnsi="宋体" w:eastAsia="仿宋_GB2312" w:cs="宋体"/>
                <w:kern w:val="0"/>
                <w:sz w:val="18"/>
                <w:szCs w:val="18"/>
              </w:rPr>
              <w:t>664.69</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highlight w:val="red"/>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highlight w:val="red"/>
              </w:rPr>
            </w:pPr>
          </w:p>
        </w:tc>
      </w:tr>
      <w:tr>
        <w:tblPrEx>
          <w:tblCellMar>
            <w:top w:w="0" w:type="dxa"/>
            <w:left w:w="108" w:type="dxa"/>
            <w:bottom w:w="0" w:type="dxa"/>
            <w:right w:w="108" w:type="dxa"/>
          </w:tblCellMar>
        </w:tblPrEx>
        <w:trPr>
          <w:trHeight w:val="289"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highlight w:val="red"/>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769.88　</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769.88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769.88　</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jc w:val="left"/>
        <w:rPr>
          <w:rFonts w:ascii="仿宋_GB2312" w:hAnsi="宋体" w:eastAsia="仿宋_GB2312"/>
          <w:kern w:val="0"/>
          <w:sz w:val="24"/>
        </w:rPr>
      </w:pPr>
      <w:r>
        <w:rPr>
          <w:rFonts w:hint="eastAsia" w:ascii="仿宋_GB2312" w:hAnsi="宋体" w:eastAsia="仿宋_GB2312"/>
          <w:kern w:val="0"/>
          <w:sz w:val="24"/>
        </w:rPr>
        <w:t xml:space="preserve">填报部门：民丰县尼雅乡人民卫生院  </w:t>
      </w:r>
      <w:r>
        <w:rPr>
          <w:rFonts w:hint="eastAsia"/>
          <w:sz w:val="28"/>
          <w:szCs w:val="28"/>
        </w:rPr>
        <w:t xml:space="preserve">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654" w:type="dxa"/>
        <w:tblInd w:w="93" w:type="dxa"/>
        <w:tblLayout w:type="fixed"/>
        <w:tblCellMar>
          <w:top w:w="0" w:type="dxa"/>
          <w:left w:w="108" w:type="dxa"/>
          <w:bottom w:w="0" w:type="dxa"/>
          <w:right w:w="108" w:type="dxa"/>
        </w:tblCellMar>
      </w:tblPr>
      <w:tblGrid>
        <w:gridCol w:w="518"/>
        <w:gridCol w:w="493"/>
        <w:gridCol w:w="407"/>
        <w:gridCol w:w="1978"/>
        <w:gridCol w:w="820"/>
        <w:gridCol w:w="839"/>
        <w:gridCol w:w="521"/>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w:t>
            </w:r>
            <w:r>
              <w:rPr>
                <w:rFonts w:ascii="仿宋_GB2312" w:eastAsia="仿宋_GB2312"/>
                <w:b/>
                <w:color w:val="000000"/>
                <w:sz w:val="20"/>
                <w:szCs w:val="20"/>
              </w:rPr>
              <w:t xml:space="preserve">  </w:t>
            </w:r>
            <w:r>
              <w:rPr>
                <w:rFonts w:hint="eastAsia" w:ascii="仿宋_GB2312" w:eastAsia="仿宋_GB2312"/>
                <w:b/>
                <w:color w:val="000000"/>
                <w:sz w:val="20"/>
                <w:szCs w:val="20"/>
              </w:rPr>
              <w:t>计</w:t>
            </w:r>
          </w:p>
        </w:tc>
        <w:tc>
          <w:tcPr>
            <w:tcW w:w="83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93"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0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3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80" w:hRule="atLeast"/>
        </w:trPr>
        <w:tc>
          <w:tcPr>
            <w:tcW w:w="5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493"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p>
        </w:tc>
        <w:tc>
          <w:tcPr>
            <w:tcW w:w="407"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p>
        </w:tc>
        <w:tc>
          <w:tcPr>
            <w:tcW w:w="1978"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kern w:val="0"/>
                <w:sz w:val="18"/>
                <w:szCs w:val="18"/>
              </w:rPr>
              <w:t>卫生健康支出</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664.69</w:t>
            </w:r>
          </w:p>
        </w:tc>
        <w:tc>
          <w:tcPr>
            <w:tcW w:w="83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664.69</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49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w:t>
            </w:r>
          </w:p>
        </w:tc>
        <w:tc>
          <w:tcPr>
            <w:tcW w:w="407"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p>
        </w:tc>
        <w:tc>
          <w:tcPr>
            <w:tcW w:w="1978"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基层医疗卫生机构</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664.69</w:t>
            </w:r>
          </w:p>
        </w:tc>
        <w:tc>
          <w:tcPr>
            <w:tcW w:w="83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664.69</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49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40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1978"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乡镇卫生院</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664.69</w:t>
            </w:r>
          </w:p>
        </w:tc>
        <w:tc>
          <w:tcPr>
            <w:tcW w:w="83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664.69</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493"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p>
        </w:tc>
        <w:tc>
          <w:tcPr>
            <w:tcW w:w="407"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p>
        </w:tc>
        <w:tc>
          <w:tcPr>
            <w:tcW w:w="197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105.19</w:t>
            </w:r>
          </w:p>
        </w:tc>
        <w:tc>
          <w:tcPr>
            <w:tcW w:w="83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105.19</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49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407"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p>
        </w:tc>
        <w:tc>
          <w:tcPr>
            <w:tcW w:w="197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rPr>
              <w:t>行政事业单位养老支出</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105.19</w:t>
            </w:r>
          </w:p>
        </w:tc>
        <w:tc>
          <w:tcPr>
            <w:tcW w:w="83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105.19</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p>
        </w:tc>
        <w:tc>
          <w:tcPr>
            <w:tcW w:w="49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40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197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105.19</w:t>
            </w:r>
          </w:p>
        </w:tc>
        <w:tc>
          <w:tcPr>
            <w:tcW w:w="83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105.19</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380"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20" w:type="dxa"/>
            <w:tcBorders>
              <w:top w:val="nil"/>
              <w:left w:val="nil"/>
              <w:bottom w:val="single" w:color="auto" w:sz="4" w:space="0"/>
              <w:right w:val="single" w:color="auto" w:sz="4" w:space="0"/>
            </w:tcBorders>
          </w:tcPr>
          <w:p>
            <w:pPr>
              <w:rPr>
                <w:rFonts w:ascii="宋体" w:hAnsi="宋体" w:cs="宋体"/>
                <w:sz w:val="18"/>
                <w:szCs w:val="18"/>
              </w:rPr>
            </w:pPr>
            <w:r>
              <w:rPr>
                <w:rFonts w:hint="eastAsia" w:ascii="宋体" w:hAnsi="宋体" w:cs="宋体"/>
                <w:color w:val="000000"/>
                <w:kern w:val="0"/>
                <w:sz w:val="18"/>
                <w:szCs w:val="18"/>
              </w:rPr>
              <w:t>769.88</w:t>
            </w:r>
          </w:p>
        </w:tc>
        <w:tc>
          <w:tcPr>
            <w:tcW w:w="839" w:type="dxa"/>
            <w:tcBorders>
              <w:top w:val="nil"/>
              <w:left w:val="nil"/>
              <w:bottom w:val="single" w:color="auto" w:sz="4" w:space="0"/>
              <w:right w:val="single" w:color="auto" w:sz="4" w:space="0"/>
            </w:tcBorders>
          </w:tcPr>
          <w:p>
            <w:pPr>
              <w:rPr>
                <w:rFonts w:ascii="宋体" w:hAnsi="宋体" w:cs="宋体"/>
                <w:sz w:val="18"/>
                <w:szCs w:val="18"/>
              </w:rPr>
            </w:pPr>
            <w:r>
              <w:rPr>
                <w:rFonts w:hint="eastAsia" w:ascii="宋体" w:hAnsi="宋体" w:cs="宋体"/>
                <w:color w:val="000000"/>
                <w:kern w:val="0"/>
                <w:sz w:val="18"/>
                <w:szCs w:val="18"/>
              </w:rPr>
              <w:t>769.88</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rPr>
          <w:rFonts w:ascii="仿宋_GB2312" w:hAnsi="宋体" w:eastAsia="仿宋_GB2312"/>
          <w:b/>
          <w:kern w:val="0"/>
          <w:sz w:val="32"/>
          <w:szCs w:val="32"/>
        </w:rPr>
      </w:pPr>
      <w:r>
        <w:rPr>
          <w:rFonts w:hint="eastAsia" w:ascii="仿宋_GB2312" w:hAnsi="宋体" w:eastAsia="仿宋_GB2312"/>
          <w:b/>
          <w:kern w:val="0"/>
          <w:sz w:val="32"/>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jc w:val="left"/>
        <w:rPr>
          <w:rFonts w:ascii="仿宋_GB2312" w:hAnsi="宋体" w:eastAsia="仿宋_GB2312"/>
          <w:kern w:val="0"/>
          <w:sz w:val="24"/>
        </w:rPr>
      </w:pPr>
      <w:r>
        <w:rPr>
          <w:rFonts w:hint="eastAsia" w:ascii="仿宋_GB2312" w:hAnsi="宋体" w:eastAsia="仿宋_GB2312"/>
          <w:kern w:val="0"/>
          <w:sz w:val="24"/>
        </w:rPr>
        <w:t xml:space="preserve">编制部门：民丰县尼雅乡人民卫生院      </w:t>
      </w:r>
      <w:r>
        <w:rPr>
          <w:rFonts w:hint="eastAsia"/>
          <w:szCs w:val="21"/>
        </w:rPr>
        <w:t xml:space="preserve">     </w:t>
      </w:r>
      <w:r>
        <w:rPr>
          <w:rFonts w:ascii="仿宋_GB2312" w:hAnsi="宋体" w:eastAsia="仿宋_GB2312"/>
          <w:kern w:val="0"/>
          <w:sz w:val="24"/>
        </w:rPr>
        <w:t xml:space="preserve">  </w:t>
      </w:r>
      <w:r>
        <w:rPr>
          <w:rFonts w:hint="eastAsia" w:ascii="仿宋_GB2312" w:hAnsi="宋体" w:eastAsia="仿宋_GB2312"/>
          <w:kern w:val="0"/>
          <w:sz w:val="24"/>
        </w:rPr>
        <w:t xml:space="preserve">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229" w:type="dxa"/>
        <w:tblInd w:w="93" w:type="dxa"/>
        <w:tblLayout w:type="fixed"/>
        <w:tblCellMar>
          <w:top w:w="0" w:type="dxa"/>
          <w:left w:w="108" w:type="dxa"/>
          <w:bottom w:w="0" w:type="dxa"/>
          <w:right w:w="108" w:type="dxa"/>
        </w:tblCellMar>
      </w:tblPr>
      <w:tblGrid>
        <w:gridCol w:w="503"/>
        <w:gridCol w:w="480"/>
        <w:gridCol w:w="435"/>
        <w:gridCol w:w="2387"/>
        <w:gridCol w:w="1873"/>
        <w:gridCol w:w="1838"/>
        <w:gridCol w:w="1713"/>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4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87" w:type="dxa"/>
            <w:vMerge w:val="restart"/>
            <w:tcBorders>
              <w:top w:val="nil"/>
              <w:left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73" w:type="dxa"/>
            <w:vMerge w:val="restart"/>
            <w:tcBorders>
              <w:top w:val="nil"/>
              <w:left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合计</w:t>
            </w:r>
          </w:p>
        </w:tc>
        <w:tc>
          <w:tcPr>
            <w:tcW w:w="1838" w:type="dxa"/>
            <w:vMerge w:val="restart"/>
            <w:tcBorders>
              <w:top w:val="nil"/>
              <w:left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03"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4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3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387" w:type="dxa"/>
            <w:vMerge w:val="continue"/>
            <w:tcBorders>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73" w:type="dxa"/>
            <w:vMerge w:val="continue"/>
            <w:tcBorders>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38" w:type="dxa"/>
            <w:vMerge w:val="continue"/>
            <w:tcBorders>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13" w:type="dxa"/>
            <w:vMerge w:val="continue"/>
            <w:tcBorders>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宋体"/>
                <w:b/>
                <w:bCs/>
                <w:color w:val="000000"/>
                <w:kern w:val="0"/>
                <w:sz w:val="16"/>
                <w:szCs w:val="16"/>
              </w:rPr>
            </w:pPr>
            <w:r>
              <w:rPr>
                <w:rFonts w:ascii="宋体" w:hAnsi="宋体" w:cs="宋体"/>
                <w:color w:val="000000"/>
                <w:kern w:val="0"/>
                <w:sz w:val="18"/>
                <w:szCs w:val="18"/>
              </w:rPr>
              <w:t>210</w:t>
            </w:r>
          </w:p>
        </w:tc>
        <w:tc>
          <w:tcPr>
            <w:tcW w:w="480" w:type="dxa"/>
            <w:tcBorders>
              <w:top w:val="nil"/>
              <w:left w:val="nil"/>
              <w:bottom w:val="single" w:color="auto" w:sz="4" w:space="0"/>
              <w:right w:val="single" w:color="auto" w:sz="4" w:space="0"/>
            </w:tcBorders>
            <w:vAlign w:val="center"/>
          </w:tcPr>
          <w:p>
            <w:pPr>
              <w:jc w:val="center"/>
              <w:rPr>
                <w:rFonts w:asci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jc w:val="center"/>
              <w:rPr>
                <w:rFonts w:ascii="宋体" w:cs="宋体"/>
                <w:b/>
                <w:bCs/>
                <w:color w:val="000000"/>
                <w:kern w:val="0"/>
                <w:sz w:val="16"/>
                <w:szCs w:val="16"/>
              </w:rPr>
            </w:pPr>
          </w:p>
        </w:tc>
        <w:tc>
          <w:tcPr>
            <w:tcW w:w="2387"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 xml:space="preserve"> </w:t>
            </w:r>
            <w:r>
              <w:rPr>
                <w:rFonts w:hint="eastAsia" w:ascii="宋体" w:hAnsi="宋体" w:cs="宋体"/>
                <w:kern w:val="0"/>
                <w:sz w:val="18"/>
                <w:szCs w:val="18"/>
              </w:rPr>
              <w:t>卫生健康支出</w:t>
            </w:r>
          </w:p>
        </w:tc>
        <w:tc>
          <w:tcPr>
            <w:tcW w:w="1873" w:type="dxa"/>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664.69</w:t>
            </w:r>
          </w:p>
        </w:tc>
        <w:tc>
          <w:tcPr>
            <w:tcW w:w="1838" w:type="dxa"/>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664.69</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jc w:val="center"/>
              <w:rPr>
                <w:rFonts w:asci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textAlignment w:val="center"/>
              <w:rPr>
                <w:rFonts w:ascii="宋体" w:cs="宋体"/>
                <w:b/>
                <w:bCs/>
                <w:color w:val="000000"/>
                <w:kern w:val="0"/>
                <w:sz w:val="16"/>
                <w:szCs w:val="16"/>
              </w:rPr>
            </w:pPr>
            <w:r>
              <w:rPr>
                <w:rFonts w:ascii="宋体" w:hAnsi="宋体" w:cs="宋体"/>
                <w:color w:val="000000"/>
                <w:kern w:val="0"/>
                <w:sz w:val="18"/>
                <w:szCs w:val="18"/>
              </w:rPr>
              <w:t>03</w:t>
            </w:r>
          </w:p>
        </w:tc>
        <w:tc>
          <w:tcPr>
            <w:tcW w:w="435" w:type="dxa"/>
            <w:tcBorders>
              <w:top w:val="nil"/>
              <w:left w:val="nil"/>
              <w:bottom w:val="single" w:color="auto" w:sz="4" w:space="0"/>
              <w:right w:val="single" w:color="auto" w:sz="4" w:space="0"/>
            </w:tcBorders>
            <w:vAlign w:val="center"/>
          </w:tcPr>
          <w:p>
            <w:pPr>
              <w:jc w:val="center"/>
              <w:rPr>
                <w:rFonts w:ascii="宋体" w:cs="宋体"/>
                <w:b/>
                <w:bCs/>
                <w:color w:val="000000"/>
                <w:kern w:val="0"/>
                <w:sz w:val="16"/>
                <w:szCs w:val="16"/>
              </w:rPr>
            </w:pPr>
          </w:p>
        </w:tc>
        <w:tc>
          <w:tcPr>
            <w:tcW w:w="2387"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 xml:space="preserve"> </w:t>
            </w:r>
            <w:r>
              <w:rPr>
                <w:rFonts w:hint="eastAsia"/>
                <w:sz w:val="18"/>
                <w:szCs w:val="18"/>
              </w:rPr>
              <w:t>基层医疗卫生机构</w:t>
            </w:r>
          </w:p>
        </w:tc>
        <w:tc>
          <w:tcPr>
            <w:tcW w:w="1873" w:type="dxa"/>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664.69</w:t>
            </w:r>
          </w:p>
        </w:tc>
        <w:tc>
          <w:tcPr>
            <w:tcW w:w="1838" w:type="dxa"/>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664.69</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宋体"/>
                <w:b/>
                <w:bCs/>
                <w:color w:val="000000"/>
                <w:kern w:val="0"/>
                <w:sz w:val="16"/>
                <w:szCs w:val="16"/>
              </w:rPr>
            </w:pPr>
            <w:r>
              <w:rPr>
                <w:rFonts w:ascii="宋体" w:hAnsi="宋体" w:cs="宋体"/>
                <w:color w:val="000000"/>
                <w:kern w:val="0"/>
                <w:sz w:val="18"/>
                <w:szCs w:val="18"/>
              </w:rPr>
              <w:t xml:space="preserve">  </w:t>
            </w:r>
          </w:p>
        </w:tc>
        <w:tc>
          <w:tcPr>
            <w:tcW w:w="480" w:type="dxa"/>
            <w:tcBorders>
              <w:top w:val="nil"/>
              <w:left w:val="nil"/>
              <w:bottom w:val="single" w:color="auto" w:sz="4" w:space="0"/>
              <w:right w:val="single" w:color="auto" w:sz="4" w:space="0"/>
            </w:tcBorders>
            <w:vAlign w:val="center"/>
          </w:tcPr>
          <w:p>
            <w:pPr>
              <w:widowControl/>
              <w:jc w:val="center"/>
              <w:textAlignment w:val="center"/>
              <w:rPr>
                <w:rFonts w:ascii="宋体" w:cs="宋体"/>
                <w:b/>
                <w:bCs/>
                <w:color w:val="000000"/>
                <w:kern w:val="0"/>
                <w:sz w:val="16"/>
                <w:szCs w:val="16"/>
              </w:rPr>
            </w:pPr>
            <w:r>
              <w:rPr>
                <w:rFonts w:ascii="宋体" w:hAnsi="宋体" w:cs="宋体"/>
                <w:color w:val="000000"/>
                <w:kern w:val="0"/>
                <w:sz w:val="18"/>
                <w:szCs w:val="18"/>
              </w:rPr>
              <w:t xml:space="preserve">  </w:t>
            </w:r>
          </w:p>
        </w:tc>
        <w:tc>
          <w:tcPr>
            <w:tcW w:w="435" w:type="dxa"/>
            <w:tcBorders>
              <w:top w:val="nil"/>
              <w:left w:val="nil"/>
              <w:bottom w:val="single" w:color="auto" w:sz="4" w:space="0"/>
              <w:right w:val="single" w:color="auto" w:sz="4" w:space="0"/>
            </w:tcBorders>
            <w:vAlign w:val="center"/>
          </w:tcPr>
          <w:p>
            <w:pPr>
              <w:widowControl/>
              <w:jc w:val="center"/>
              <w:textAlignment w:val="center"/>
              <w:rPr>
                <w:rFonts w:ascii="宋体" w:cs="宋体"/>
                <w:b/>
                <w:bCs/>
                <w:color w:val="000000"/>
                <w:kern w:val="0"/>
                <w:sz w:val="16"/>
                <w:szCs w:val="16"/>
              </w:rPr>
            </w:pPr>
            <w:r>
              <w:rPr>
                <w:rFonts w:ascii="宋体" w:hAnsi="宋体" w:cs="宋体"/>
                <w:color w:val="000000"/>
                <w:kern w:val="0"/>
                <w:sz w:val="18"/>
                <w:szCs w:val="18"/>
              </w:rPr>
              <w:t>02</w:t>
            </w:r>
          </w:p>
        </w:tc>
        <w:tc>
          <w:tcPr>
            <w:tcW w:w="2387"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 xml:space="preserve"> </w:t>
            </w:r>
            <w:r>
              <w:rPr>
                <w:rFonts w:hint="eastAsia"/>
                <w:sz w:val="18"/>
                <w:szCs w:val="18"/>
              </w:rPr>
              <w:t>乡镇卫生院</w:t>
            </w:r>
          </w:p>
        </w:tc>
        <w:tc>
          <w:tcPr>
            <w:tcW w:w="1873" w:type="dxa"/>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664.69</w:t>
            </w:r>
          </w:p>
        </w:tc>
        <w:tc>
          <w:tcPr>
            <w:tcW w:w="1838" w:type="dxa"/>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664.69</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宋体"/>
                <w:b/>
                <w:bCs/>
                <w:color w:val="000000"/>
                <w:kern w:val="0"/>
                <w:sz w:val="16"/>
                <w:szCs w:val="16"/>
              </w:rPr>
            </w:pPr>
            <w:r>
              <w:rPr>
                <w:rFonts w:ascii="宋体" w:hAnsi="宋体" w:cs="宋体"/>
                <w:color w:val="000000"/>
                <w:kern w:val="0"/>
                <w:sz w:val="18"/>
                <w:szCs w:val="18"/>
              </w:rPr>
              <w:t>208</w:t>
            </w:r>
          </w:p>
        </w:tc>
        <w:tc>
          <w:tcPr>
            <w:tcW w:w="480" w:type="dxa"/>
            <w:tcBorders>
              <w:top w:val="nil"/>
              <w:left w:val="nil"/>
              <w:bottom w:val="single" w:color="auto" w:sz="4" w:space="0"/>
              <w:right w:val="single" w:color="auto" w:sz="4" w:space="0"/>
            </w:tcBorders>
            <w:vAlign w:val="center"/>
          </w:tcPr>
          <w:p>
            <w:pPr>
              <w:jc w:val="center"/>
              <w:rPr>
                <w:rFonts w:asci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jc w:val="center"/>
              <w:rPr>
                <w:rFonts w:ascii="宋体" w:cs="宋体"/>
                <w:b/>
                <w:bCs/>
                <w:color w:val="000000"/>
                <w:kern w:val="0"/>
                <w:sz w:val="16"/>
                <w:szCs w:val="16"/>
              </w:rPr>
            </w:pPr>
          </w:p>
        </w:tc>
        <w:tc>
          <w:tcPr>
            <w:tcW w:w="2387" w:type="dxa"/>
            <w:tcBorders>
              <w:top w:val="nil"/>
              <w:left w:val="nil"/>
              <w:bottom w:val="single" w:color="auto" w:sz="4" w:space="0"/>
              <w:right w:val="single" w:color="auto" w:sz="4" w:space="0"/>
            </w:tcBorders>
            <w:vAlign w:val="center"/>
          </w:tcPr>
          <w:p>
            <w:pPr>
              <w:widowControl/>
              <w:textAlignment w:val="center"/>
              <w:rPr>
                <w:rFonts w:ascii="宋体" w:cs="宋体"/>
                <w:b/>
                <w:bCs/>
                <w:color w:val="000000"/>
                <w:kern w:val="0"/>
                <w:sz w:val="22"/>
                <w:szCs w:val="22"/>
              </w:rPr>
            </w:pPr>
            <w:r>
              <w:rPr>
                <w:rFonts w:hint="eastAsia" w:ascii="宋体" w:hAnsi="宋体" w:cs="宋体"/>
                <w:color w:val="000000"/>
                <w:kern w:val="0"/>
                <w:sz w:val="18"/>
                <w:szCs w:val="18"/>
              </w:rPr>
              <w:t>社会保障和就业支出</w:t>
            </w:r>
          </w:p>
        </w:tc>
        <w:tc>
          <w:tcPr>
            <w:tcW w:w="1873" w:type="dxa"/>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105.19</w:t>
            </w:r>
          </w:p>
        </w:tc>
        <w:tc>
          <w:tcPr>
            <w:tcW w:w="1838" w:type="dxa"/>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105.19</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jc w:val="center"/>
              <w:rPr>
                <w:rFonts w:asci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textAlignment w:val="center"/>
              <w:rPr>
                <w:rFonts w:ascii="宋体" w:cs="宋体"/>
                <w:b/>
                <w:bCs/>
                <w:color w:val="000000"/>
                <w:kern w:val="0"/>
                <w:sz w:val="16"/>
                <w:szCs w:val="16"/>
              </w:rPr>
            </w:pPr>
            <w:r>
              <w:rPr>
                <w:rFonts w:ascii="宋体" w:hAnsi="宋体" w:cs="宋体"/>
                <w:color w:val="000000"/>
                <w:kern w:val="0"/>
                <w:sz w:val="18"/>
                <w:szCs w:val="18"/>
              </w:rPr>
              <w:t>05</w:t>
            </w:r>
          </w:p>
        </w:tc>
        <w:tc>
          <w:tcPr>
            <w:tcW w:w="435" w:type="dxa"/>
            <w:tcBorders>
              <w:top w:val="nil"/>
              <w:left w:val="nil"/>
              <w:bottom w:val="single" w:color="auto" w:sz="4" w:space="0"/>
              <w:right w:val="single" w:color="auto" w:sz="4" w:space="0"/>
            </w:tcBorders>
            <w:vAlign w:val="center"/>
          </w:tcPr>
          <w:p>
            <w:pPr>
              <w:jc w:val="center"/>
              <w:rPr>
                <w:rFonts w:ascii="宋体" w:cs="宋体"/>
                <w:b/>
                <w:bCs/>
                <w:color w:val="000000"/>
                <w:kern w:val="0"/>
                <w:sz w:val="16"/>
                <w:szCs w:val="16"/>
              </w:rPr>
            </w:pPr>
          </w:p>
        </w:tc>
        <w:tc>
          <w:tcPr>
            <w:tcW w:w="2387" w:type="dxa"/>
            <w:tcBorders>
              <w:top w:val="nil"/>
              <w:left w:val="nil"/>
              <w:bottom w:val="single" w:color="auto" w:sz="4" w:space="0"/>
              <w:right w:val="single" w:color="auto" w:sz="4" w:space="0"/>
            </w:tcBorders>
            <w:vAlign w:val="center"/>
          </w:tcPr>
          <w:p>
            <w:pPr>
              <w:widowControl/>
              <w:textAlignment w:val="center"/>
              <w:rPr>
                <w:rFonts w:ascii="宋体" w:cs="宋体"/>
                <w:b/>
                <w:bCs/>
                <w:color w:val="000000"/>
                <w:kern w:val="0"/>
                <w:sz w:val="22"/>
                <w:szCs w:val="22"/>
              </w:rPr>
            </w:pPr>
            <w:r>
              <w:rPr>
                <w:rFonts w:hint="eastAsia" w:ascii="宋体" w:hAnsi="宋体" w:cs="宋体"/>
                <w:color w:val="000000"/>
                <w:kern w:val="0"/>
                <w:sz w:val="18"/>
                <w:szCs w:val="18"/>
              </w:rPr>
              <w:t>行政事业单位养老支出</w:t>
            </w:r>
          </w:p>
        </w:tc>
        <w:tc>
          <w:tcPr>
            <w:tcW w:w="1873" w:type="dxa"/>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105.19</w:t>
            </w:r>
          </w:p>
        </w:tc>
        <w:tc>
          <w:tcPr>
            <w:tcW w:w="1838" w:type="dxa"/>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105.19</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textAlignment w:val="center"/>
              <w:rPr>
                <w:rFonts w:asci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jc w:val="center"/>
              <w:textAlignment w:val="center"/>
              <w:rPr>
                <w:rFonts w:ascii="宋体" w:cs="宋体"/>
                <w:b/>
                <w:bCs/>
                <w:color w:val="000000"/>
                <w:kern w:val="0"/>
                <w:sz w:val="16"/>
                <w:szCs w:val="16"/>
              </w:rPr>
            </w:pPr>
            <w:r>
              <w:rPr>
                <w:rFonts w:ascii="宋体" w:hAnsi="宋体" w:cs="宋体"/>
                <w:color w:val="000000"/>
                <w:kern w:val="0"/>
                <w:sz w:val="18"/>
                <w:szCs w:val="18"/>
              </w:rPr>
              <w:t>05</w:t>
            </w:r>
          </w:p>
        </w:tc>
        <w:tc>
          <w:tcPr>
            <w:tcW w:w="2387" w:type="dxa"/>
            <w:tcBorders>
              <w:top w:val="nil"/>
              <w:left w:val="nil"/>
              <w:bottom w:val="single" w:color="auto" w:sz="4" w:space="0"/>
              <w:right w:val="single" w:color="auto" w:sz="4" w:space="0"/>
            </w:tcBorders>
            <w:vAlign w:val="center"/>
          </w:tcPr>
          <w:p>
            <w:pPr>
              <w:widowControl/>
              <w:textAlignment w:val="center"/>
              <w:rPr>
                <w:rFonts w:ascii="宋体" w:cs="宋体"/>
                <w:b/>
                <w:bCs/>
                <w:color w:val="000000"/>
                <w:kern w:val="0"/>
                <w:sz w:val="22"/>
                <w:szCs w:val="22"/>
              </w:rPr>
            </w:pPr>
            <w:r>
              <w:rPr>
                <w:rFonts w:hint="eastAsia" w:ascii="宋体" w:hAnsi="宋体" w:cs="宋体"/>
                <w:color w:val="000000"/>
                <w:kern w:val="0"/>
                <w:sz w:val="18"/>
                <w:szCs w:val="18"/>
              </w:rPr>
              <w:t>机关事业单位基本养老保险缴费支出</w:t>
            </w:r>
          </w:p>
        </w:tc>
        <w:tc>
          <w:tcPr>
            <w:tcW w:w="1873" w:type="dxa"/>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105.19</w:t>
            </w:r>
          </w:p>
        </w:tc>
        <w:tc>
          <w:tcPr>
            <w:tcW w:w="1838" w:type="dxa"/>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105.19</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8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7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tcP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8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7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8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7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38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7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38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7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38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7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38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7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38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7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38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7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38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7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8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7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8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7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8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7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3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2387"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18"/>
                <w:szCs w:val="18"/>
              </w:rPr>
              <w:t>合计</w:t>
            </w:r>
          </w:p>
        </w:tc>
        <w:tc>
          <w:tcPr>
            <w:tcW w:w="1873"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4"/>
              </w:rPr>
            </w:pPr>
            <w:r>
              <w:rPr>
                <w:rFonts w:ascii="宋体" w:hAnsi="宋体" w:cs="宋体"/>
                <w:color w:val="000000"/>
                <w:kern w:val="0"/>
                <w:sz w:val="18"/>
                <w:szCs w:val="18"/>
              </w:rPr>
              <w:t>769.88</w:t>
            </w:r>
          </w:p>
        </w:tc>
        <w:tc>
          <w:tcPr>
            <w:tcW w:w="1838"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4"/>
              </w:rPr>
            </w:pPr>
            <w:r>
              <w:rPr>
                <w:rFonts w:ascii="宋体" w:hAnsi="宋体" w:cs="宋体"/>
                <w:color w:val="000000"/>
                <w:kern w:val="0"/>
                <w:sz w:val="18"/>
                <w:szCs w:val="18"/>
              </w:rPr>
              <w:t>769.88</w:t>
            </w:r>
          </w:p>
        </w:tc>
        <w:tc>
          <w:tcPr>
            <w:tcW w:w="171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br w:type="page"/>
      </w: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cs="宋体"/>
          <w:color w:val="000000"/>
          <w:kern w:val="0"/>
          <w:szCs w:val="21"/>
        </w:rPr>
        <w:t>民丰县尼雅乡人民卫生院</w:t>
      </w:r>
      <w:r>
        <w:rPr>
          <w:rFonts w:hint="eastAsia" w:ascii="仿宋_GB2312" w:hAnsi="宋体" w:eastAsia="仿宋_GB2312"/>
          <w:kern w:val="0"/>
          <w:sz w:val="24"/>
        </w:rPr>
        <w:t xml:space="preserve">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2"/>
                <w:szCs w:val="22"/>
              </w:rPr>
            </w:pPr>
            <w:r>
              <w:rPr>
                <w:rFonts w:ascii="宋体" w:hAnsi="宋体" w:cs="宋体"/>
                <w:color w:val="000000"/>
                <w:kern w:val="0"/>
                <w:sz w:val="18"/>
                <w:szCs w:val="18"/>
              </w:rPr>
              <w:t>769.88</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2"/>
                <w:szCs w:val="22"/>
              </w:rPr>
            </w:pPr>
            <w:r>
              <w:rPr>
                <w:rFonts w:ascii="宋体" w:hAnsi="宋体" w:cs="宋体"/>
                <w:color w:val="000000"/>
                <w:kern w:val="0"/>
                <w:sz w:val="18"/>
                <w:szCs w:val="18"/>
              </w:rPr>
              <w:t>769.88</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bookmarkStart w:id="0" w:name="_GoBack"/>
            <w:bookmarkEnd w:id="0"/>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ascii="宋体" w:hAnsi="宋体" w:cs="宋体"/>
                <w:color w:val="000000"/>
                <w:kern w:val="0"/>
                <w:sz w:val="18"/>
                <w:szCs w:val="18"/>
              </w:rPr>
              <w:t>105.19</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ascii="宋体" w:hAnsi="宋体" w:cs="宋体"/>
                <w:color w:val="000000"/>
                <w:kern w:val="0"/>
                <w:sz w:val="18"/>
                <w:szCs w:val="18"/>
              </w:rPr>
              <w:t>105.19</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664.69</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664.69</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ascii="宋体" w:hAnsi="宋体" w:cs="宋体"/>
                <w:color w:val="000000"/>
                <w:kern w:val="0"/>
                <w:sz w:val="18"/>
                <w:szCs w:val="18"/>
              </w:rPr>
              <w:t>769.88</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color w:val="000000"/>
                <w:kern w:val="0"/>
                <w:sz w:val="18"/>
                <w:szCs w:val="18"/>
              </w:rPr>
              <w:t>769.88</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color w:val="000000"/>
                <w:kern w:val="0"/>
                <w:sz w:val="18"/>
                <w:szCs w:val="18"/>
              </w:rPr>
              <w:t>769.88</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593"/>
        <w:gridCol w:w="465"/>
        <w:gridCol w:w="495"/>
        <w:gridCol w:w="2307"/>
        <w:gridCol w:w="660"/>
        <w:gridCol w:w="1024"/>
        <w:gridCol w:w="216"/>
        <w:gridCol w:w="1626"/>
        <w:gridCol w:w="1701"/>
      </w:tblGrid>
      <w:tr>
        <w:tblPrEx>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Cs w:val="21"/>
              </w:rPr>
              <w:t>编制部门：民丰县尼雅乡人民卫生院</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55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30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6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30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65"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30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rPr>
            </w:pPr>
            <w:r>
              <w:rPr>
                <w:rFonts w:hint="eastAsia" w:ascii="宋体" w:hAnsi="宋体" w:cs="宋体"/>
                <w:color w:val="000000"/>
                <w:kern w:val="0"/>
                <w:sz w:val="18"/>
                <w:szCs w:val="18"/>
              </w:rPr>
              <w:t>合计</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rPr>
            </w:pPr>
            <w:r>
              <w:rPr>
                <w:rFonts w:ascii="宋体" w:hAnsi="宋体" w:cs="宋体"/>
                <w:color w:val="000000"/>
                <w:kern w:val="0"/>
                <w:sz w:val="18"/>
                <w:szCs w:val="18"/>
              </w:rPr>
              <w:t>769.88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rPr>
            </w:pPr>
            <w:r>
              <w:rPr>
                <w:rFonts w:ascii="宋体" w:hAnsi="宋体" w:cs="宋体"/>
                <w:color w:val="000000"/>
                <w:kern w:val="0"/>
                <w:sz w:val="18"/>
                <w:szCs w:val="18"/>
              </w:rPr>
              <w:t>769.88</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18"/>
                <w:szCs w:val="18"/>
              </w:rPr>
              <w:t>210</w:t>
            </w:r>
          </w:p>
        </w:tc>
        <w:tc>
          <w:tcPr>
            <w:tcW w:w="465" w:type="dxa"/>
            <w:tcBorders>
              <w:top w:val="nil"/>
              <w:left w:val="nil"/>
              <w:bottom w:val="single" w:color="auto" w:sz="4" w:space="0"/>
              <w:right w:val="single" w:color="auto" w:sz="4" w:space="0"/>
            </w:tcBorders>
            <w:vAlign w:val="center"/>
          </w:tcPr>
          <w:p>
            <w:pPr>
              <w:jc w:val="center"/>
              <w:rPr>
                <w:rFonts w:ascii="宋体" w:cs="宋体"/>
                <w:color w:val="000000"/>
                <w:kern w:val="0"/>
                <w:sz w:val="20"/>
                <w:szCs w:val="20"/>
              </w:rPr>
            </w:pPr>
          </w:p>
        </w:tc>
        <w:tc>
          <w:tcPr>
            <w:tcW w:w="495" w:type="dxa"/>
            <w:tcBorders>
              <w:top w:val="nil"/>
              <w:left w:val="nil"/>
              <w:bottom w:val="single" w:color="auto" w:sz="4" w:space="0"/>
              <w:right w:val="single" w:color="auto" w:sz="4" w:space="0"/>
            </w:tcBorders>
            <w:vAlign w:val="center"/>
          </w:tcPr>
          <w:p>
            <w:pPr>
              <w:jc w:val="center"/>
              <w:rPr>
                <w:rFonts w:ascii="宋体" w:cs="宋体"/>
                <w:color w:val="000000"/>
                <w:kern w:val="0"/>
                <w:sz w:val="20"/>
                <w:szCs w:val="20"/>
              </w:rPr>
            </w:pPr>
          </w:p>
        </w:tc>
        <w:tc>
          <w:tcPr>
            <w:tcW w:w="2307"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卫生健康支出</w:t>
            </w:r>
          </w:p>
        </w:tc>
        <w:tc>
          <w:tcPr>
            <w:tcW w:w="1684" w:type="dxa"/>
            <w:gridSpan w:val="2"/>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664.69</w:t>
            </w:r>
          </w:p>
        </w:tc>
        <w:tc>
          <w:tcPr>
            <w:tcW w:w="1842" w:type="dxa"/>
            <w:gridSpan w:val="2"/>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664.69</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jc w:val="center"/>
              <w:rPr>
                <w:rFonts w:ascii="宋体" w:cs="宋体"/>
                <w:color w:val="000000"/>
                <w:kern w:val="0"/>
                <w:sz w:val="20"/>
                <w:szCs w:val="20"/>
              </w:rPr>
            </w:pPr>
          </w:p>
        </w:tc>
        <w:tc>
          <w:tcPr>
            <w:tcW w:w="465"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18"/>
                <w:szCs w:val="18"/>
              </w:rPr>
              <w:t>03</w:t>
            </w:r>
          </w:p>
        </w:tc>
        <w:tc>
          <w:tcPr>
            <w:tcW w:w="495" w:type="dxa"/>
            <w:tcBorders>
              <w:top w:val="nil"/>
              <w:left w:val="nil"/>
              <w:bottom w:val="single" w:color="auto" w:sz="4" w:space="0"/>
              <w:right w:val="single" w:color="auto" w:sz="4" w:space="0"/>
            </w:tcBorders>
            <w:vAlign w:val="center"/>
          </w:tcPr>
          <w:p>
            <w:pPr>
              <w:jc w:val="center"/>
              <w:rPr>
                <w:rFonts w:ascii="宋体" w:cs="宋体"/>
                <w:color w:val="000000"/>
                <w:kern w:val="0"/>
                <w:sz w:val="20"/>
                <w:szCs w:val="20"/>
              </w:rPr>
            </w:pPr>
          </w:p>
        </w:tc>
        <w:tc>
          <w:tcPr>
            <w:tcW w:w="2307"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基层医疗卫生机构</w:t>
            </w:r>
          </w:p>
        </w:tc>
        <w:tc>
          <w:tcPr>
            <w:tcW w:w="1684" w:type="dxa"/>
            <w:gridSpan w:val="2"/>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664.69</w:t>
            </w:r>
          </w:p>
        </w:tc>
        <w:tc>
          <w:tcPr>
            <w:tcW w:w="1842" w:type="dxa"/>
            <w:gridSpan w:val="2"/>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664.69</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465"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18"/>
                <w:szCs w:val="18"/>
              </w:rPr>
              <w:t xml:space="preserve">  </w:t>
            </w:r>
          </w:p>
        </w:tc>
        <w:tc>
          <w:tcPr>
            <w:tcW w:w="495"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18"/>
                <w:szCs w:val="18"/>
              </w:rPr>
              <w:t>02</w:t>
            </w:r>
          </w:p>
        </w:tc>
        <w:tc>
          <w:tcPr>
            <w:tcW w:w="2307"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乡镇卫生院</w:t>
            </w:r>
          </w:p>
        </w:tc>
        <w:tc>
          <w:tcPr>
            <w:tcW w:w="1684" w:type="dxa"/>
            <w:gridSpan w:val="2"/>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664.69</w:t>
            </w:r>
          </w:p>
        </w:tc>
        <w:tc>
          <w:tcPr>
            <w:tcW w:w="1842" w:type="dxa"/>
            <w:gridSpan w:val="2"/>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664.69</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18"/>
                <w:szCs w:val="18"/>
              </w:rPr>
              <w:t>208</w:t>
            </w:r>
          </w:p>
        </w:tc>
        <w:tc>
          <w:tcPr>
            <w:tcW w:w="465" w:type="dxa"/>
            <w:tcBorders>
              <w:top w:val="nil"/>
              <w:left w:val="nil"/>
              <w:bottom w:val="single" w:color="auto" w:sz="4" w:space="0"/>
              <w:right w:val="single" w:color="auto" w:sz="4" w:space="0"/>
            </w:tcBorders>
            <w:vAlign w:val="center"/>
          </w:tcPr>
          <w:p>
            <w:pPr>
              <w:jc w:val="center"/>
              <w:rPr>
                <w:rFonts w:ascii="宋体" w:cs="宋体"/>
                <w:color w:val="000000"/>
                <w:kern w:val="0"/>
                <w:sz w:val="20"/>
                <w:szCs w:val="20"/>
              </w:rPr>
            </w:pPr>
          </w:p>
        </w:tc>
        <w:tc>
          <w:tcPr>
            <w:tcW w:w="495" w:type="dxa"/>
            <w:tcBorders>
              <w:top w:val="nil"/>
              <w:left w:val="nil"/>
              <w:bottom w:val="single" w:color="auto" w:sz="4" w:space="0"/>
              <w:right w:val="single" w:color="auto" w:sz="4" w:space="0"/>
            </w:tcBorders>
            <w:vAlign w:val="center"/>
          </w:tcPr>
          <w:p>
            <w:pPr>
              <w:jc w:val="center"/>
              <w:rPr>
                <w:rFonts w:ascii="宋体" w:cs="宋体"/>
                <w:color w:val="000000"/>
                <w:kern w:val="0"/>
                <w:sz w:val="20"/>
                <w:szCs w:val="20"/>
              </w:rPr>
            </w:pPr>
          </w:p>
        </w:tc>
        <w:tc>
          <w:tcPr>
            <w:tcW w:w="2307"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r>
              <w:rPr>
                <w:rFonts w:hint="eastAsia" w:ascii="宋体" w:hAnsi="宋体" w:cs="宋体"/>
                <w:color w:val="000000"/>
                <w:kern w:val="0"/>
                <w:sz w:val="18"/>
                <w:szCs w:val="18"/>
              </w:rPr>
              <w:t>社会保障和就业支出</w:t>
            </w:r>
          </w:p>
        </w:tc>
        <w:tc>
          <w:tcPr>
            <w:tcW w:w="1684" w:type="dxa"/>
            <w:gridSpan w:val="2"/>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105.19</w:t>
            </w:r>
          </w:p>
        </w:tc>
        <w:tc>
          <w:tcPr>
            <w:tcW w:w="1842" w:type="dxa"/>
            <w:gridSpan w:val="2"/>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105.19</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jc w:val="center"/>
              <w:rPr>
                <w:rFonts w:ascii="宋体" w:cs="宋体"/>
                <w:color w:val="000000"/>
                <w:kern w:val="0"/>
                <w:sz w:val="20"/>
                <w:szCs w:val="20"/>
              </w:rPr>
            </w:pPr>
          </w:p>
        </w:tc>
        <w:tc>
          <w:tcPr>
            <w:tcW w:w="465"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18"/>
                <w:szCs w:val="18"/>
              </w:rPr>
              <w:t>05</w:t>
            </w:r>
          </w:p>
        </w:tc>
        <w:tc>
          <w:tcPr>
            <w:tcW w:w="495" w:type="dxa"/>
            <w:tcBorders>
              <w:top w:val="nil"/>
              <w:left w:val="nil"/>
              <w:bottom w:val="single" w:color="auto" w:sz="4" w:space="0"/>
              <w:right w:val="single" w:color="auto" w:sz="4" w:space="0"/>
            </w:tcBorders>
            <w:vAlign w:val="center"/>
          </w:tcPr>
          <w:p>
            <w:pPr>
              <w:jc w:val="center"/>
              <w:rPr>
                <w:rFonts w:ascii="宋体" w:cs="宋体"/>
                <w:color w:val="000000"/>
                <w:kern w:val="0"/>
                <w:sz w:val="20"/>
                <w:szCs w:val="20"/>
              </w:rPr>
            </w:pPr>
          </w:p>
        </w:tc>
        <w:tc>
          <w:tcPr>
            <w:tcW w:w="2307"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r>
              <w:rPr>
                <w:rFonts w:hint="eastAsia" w:ascii="宋体" w:hAnsi="宋体" w:cs="宋体"/>
                <w:color w:val="000000"/>
                <w:kern w:val="0"/>
                <w:sz w:val="18"/>
                <w:szCs w:val="18"/>
              </w:rPr>
              <w:t>行政事业单位养老支出</w:t>
            </w:r>
          </w:p>
        </w:tc>
        <w:tc>
          <w:tcPr>
            <w:tcW w:w="1684" w:type="dxa"/>
            <w:gridSpan w:val="2"/>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105.19</w:t>
            </w:r>
          </w:p>
        </w:tc>
        <w:tc>
          <w:tcPr>
            <w:tcW w:w="1842" w:type="dxa"/>
            <w:gridSpan w:val="2"/>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105.19</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465"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495"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18"/>
                <w:szCs w:val="18"/>
              </w:rPr>
              <w:t>05</w:t>
            </w:r>
          </w:p>
        </w:tc>
        <w:tc>
          <w:tcPr>
            <w:tcW w:w="2307"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r>
              <w:rPr>
                <w:rFonts w:hint="eastAsia" w:ascii="宋体" w:hAnsi="宋体" w:cs="宋体"/>
                <w:color w:val="000000"/>
                <w:kern w:val="0"/>
                <w:sz w:val="18"/>
                <w:szCs w:val="18"/>
              </w:rPr>
              <w:t>机关事业单位基本养老保险缴费支出</w:t>
            </w:r>
          </w:p>
        </w:tc>
        <w:tc>
          <w:tcPr>
            <w:tcW w:w="1684" w:type="dxa"/>
            <w:gridSpan w:val="2"/>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105.19</w:t>
            </w:r>
          </w:p>
        </w:tc>
        <w:tc>
          <w:tcPr>
            <w:tcW w:w="1842" w:type="dxa"/>
            <w:gridSpan w:val="2"/>
            <w:tcBorders>
              <w:top w:val="nil"/>
              <w:left w:val="nil"/>
              <w:bottom w:val="single" w:color="auto" w:sz="4" w:space="0"/>
              <w:right w:val="single" w:color="auto" w:sz="4" w:space="0"/>
            </w:tcBorders>
          </w:tcPr>
          <w:p>
            <w:pPr>
              <w:jc w:val="center"/>
              <w:rPr>
                <w:color w:val="000000"/>
              </w:rPr>
            </w:pPr>
            <w:r>
              <w:rPr>
                <w:rFonts w:ascii="宋体" w:hAnsi="宋体" w:cs="宋体"/>
                <w:color w:val="000000"/>
                <w:kern w:val="0"/>
                <w:sz w:val="18"/>
                <w:szCs w:val="18"/>
              </w:rPr>
              <w:t>105.19</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bl>
    <w:p>
      <w:pPr>
        <w:rPr>
          <w:rFonts w:ascii="仿宋_GB2312" w:hAnsi="宋体" w:eastAsia="仿宋_GB2312"/>
          <w:b/>
          <w:kern w:val="0"/>
          <w:sz w:val="32"/>
          <w:szCs w:val="32"/>
        </w:rPr>
      </w:pPr>
      <w:r>
        <w:rPr>
          <w:rFonts w:hint="eastAsia" w:ascii="仿宋_GB2312" w:hAnsi="宋体" w:eastAsia="仿宋_GB2312"/>
          <w:b/>
          <w:kern w:val="0"/>
          <w:sz w:val="32"/>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516"/>
        <w:gridCol w:w="577"/>
        <w:gridCol w:w="2891"/>
        <w:gridCol w:w="995"/>
        <w:gridCol w:w="616"/>
        <w:gridCol w:w="1066"/>
        <w:gridCol w:w="725"/>
        <w:gridCol w:w="1701"/>
      </w:tblGrid>
      <w:tr>
        <w:tblPrEx>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编制部门：民丰县尼雅乡人民卫生院</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61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9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43"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1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9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宋体" w:hAnsi="宋体"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工资福利支出</w:t>
            </w:r>
          </w:p>
        </w:tc>
        <w:tc>
          <w:tcPr>
            <w:tcW w:w="161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718.08</w:t>
            </w:r>
          </w:p>
        </w:tc>
        <w:tc>
          <w:tcPr>
            <w:tcW w:w="179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718.08</w:t>
            </w:r>
          </w:p>
        </w:tc>
        <w:tc>
          <w:tcPr>
            <w:tcW w:w="1701" w:type="dxa"/>
            <w:tcBorders>
              <w:top w:val="nil"/>
              <w:left w:val="nil"/>
              <w:bottom w:val="single" w:color="auto" w:sz="4" w:space="0"/>
              <w:right w:val="single" w:color="auto" w:sz="4" w:space="0"/>
            </w:tcBorders>
            <w:vAlign w:val="center"/>
          </w:tcPr>
          <w:p>
            <w:pPr>
              <w:jc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基本工资</w:t>
            </w:r>
          </w:p>
        </w:tc>
        <w:tc>
          <w:tcPr>
            <w:tcW w:w="161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142.72</w:t>
            </w:r>
          </w:p>
        </w:tc>
        <w:tc>
          <w:tcPr>
            <w:tcW w:w="179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142.72</w:t>
            </w:r>
          </w:p>
        </w:tc>
        <w:tc>
          <w:tcPr>
            <w:tcW w:w="1701" w:type="dxa"/>
            <w:tcBorders>
              <w:top w:val="nil"/>
              <w:left w:val="nil"/>
              <w:bottom w:val="single" w:color="auto" w:sz="4" w:space="0"/>
              <w:right w:val="single" w:color="auto" w:sz="4" w:space="0"/>
            </w:tcBorders>
            <w:vAlign w:val="center"/>
          </w:tcPr>
          <w:p>
            <w:pPr>
              <w:jc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津贴补贴</w:t>
            </w:r>
          </w:p>
        </w:tc>
        <w:tc>
          <w:tcPr>
            <w:tcW w:w="161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374.5</w:t>
            </w:r>
          </w:p>
        </w:tc>
        <w:tc>
          <w:tcPr>
            <w:tcW w:w="179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374.5</w:t>
            </w:r>
          </w:p>
        </w:tc>
        <w:tc>
          <w:tcPr>
            <w:tcW w:w="1701" w:type="dxa"/>
            <w:tcBorders>
              <w:top w:val="nil"/>
              <w:left w:val="nil"/>
              <w:bottom w:val="single" w:color="auto" w:sz="4" w:space="0"/>
              <w:right w:val="single" w:color="auto" w:sz="4" w:space="0"/>
            </w:tcBorders>
            <w:vAlign w:val="center"/>
          </w:tcPr>
          <w:p>
            <w:pPr>
              <w:jc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奖金</w:t>
            </w:r>
          </w:p>
        </w:tc>
        <w:tc>
          <w:tcPr>
            <w:tcW w:w="161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11.89</w:t>
            </w:r>
          </w:p>
        </w:tc>
        <w:tc>
          <w:tcPr>
            <w:tcW w:w="179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11.89</w:t>
            </w:r>
          </w:p>
        </w:tc>
        <w:tc>
          <w:tcPr>
            <w:tcW w:w="1701" w:type="dxa"/>
            <w:tcBorders>
              <w:top w:val="nil"/>
              <w:left w:val="nil"/>
              <w:bottom w:val="single" w:color="auto" w:sz="4" w:space="0"/>
              <w:right w:val="single" w:color="auto" w:sz="4" w:space="0"/>
            </w:tcBorders>
            <w:vAlign w:val="center"/>
          </w:tcPr>
          <w:p>
            <w:pPr>
              <w:jc w:val="center"/>
              <w:rPr>
                <w:rFonts w:ascii="宋体" w:cs="宋体"/>
                <w:color w:val="000000"/>
                <w:kern w:val="0"/>
                <w:sz w:val="20"/>
                <w:szCs w:val="20"/>
              </w:rPr>
            </w:pPr>
          </w:p>
        </w:tc>
      </w:tr>
      <w:tr>
        <w:tblPrEx>
          <w:tblCellMar>
            <w:top w:w="0" w:type="dxa"/>
            <w:left w:w="108" w:type="dxa"/>
            <w:bottom w:w="0" w:type="dxa"/>
            <w:right w:w="108" w:type="dxa"/>
          </w:tblCellMar>
        </w:tblPrEx>
        <w:trPr>
          <w:trHeight w:val="479"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04</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社会保障缴费</w:t>
            </w:r>
          </w:p>
        </w:tc>
        <w:tc>
          <w:tcPr>
            <w:tcW w:w="161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143.87</w:t>
            </w:r>
          </w:p>
        </w:tc>
        <w:tc>
          <w:tcPr>
            <w:tcW w:w="179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143.87</w:t>
            </w:r>
          </w:p>
        </w:tc>
        <w:tc>
          <w:tcPr>
            <w:tcW w:w="1701" w:type="dxa"/>
            <w:tcBorders>
              <w:top w:val="nil"/>
              <w:left w:val="nil"/>
              <w:bottom w:val="single" w:color="auto" w:sz="4" w:space="0"/>
              <w:right w:val="single" w:color="auto" w:sz="4" w:space="0"/>
            </w:tcBorders>
            <w:vAlign w:val="center"/>
          </w:tcPr>
          <w:p>
            <w:pPr>
              <w:jc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住房公积金</w:t>
            </w:r>
          </w:p>
        </w:tc>
        <w:tc>
          <w:tcPr>
            <w:tcW w:w="161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45.08</w:t>
            </w:r>
          </w:p>
        </w:tc>
        <w:tc>
          <w:tcPr>
            <w:tcW w:w="179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45.08</w:t>
            </w:r>
          </w:p>
        </w:tc>
        <w:tc>
          <w:tcPr>
            <w:tcW w:w="1701" w:type="dxa"/>
            <w:tcBorders>
              <w:top w:val="nil"/>
              <w:left w:val="nil"/>
              <w:bottom w:val="single" w:color="auto" w:sz="4" w:space="0"/>
              <w:right w:val="single" w:color="auto" w:sz="4" w:space="0"/>
            </w:tcBorders>
            <w:vAlign w:val="center"/>
          </w:tcPr>
          <w:p>
            <w:pPr>
              <w:jc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hint="eastAsia" w:ascii="宋体" w:hAnsi="宋体" w:cs="宋体"/>
                <w:color w:val="000000"/>
                <w:kern w:val="0"/>
                <w:sz w:val="18"/>
                <w:szCs w:val="18"/>
              </w:rPr>
              <w:t>商品和服务支出</w:t>
            </w:r>
          </w:p>
        </w:tc>
        <w:tc>
          <w:tcPr>
            <w:tcW w:w="1611" w:type="dxa"/>
            <w:gridSpan w:val="2"/>
            <w:tcBorders>
              <w:top w:val="nil"/>
              <w:left w:val="nil"/>
              <w:bottom w:val="single" w:color="auto" w:sz="4" w:space="0"/>
              <w:right w:val="single" w:color="auto" w:sz="4" w:space="0"/>
            </w:tcBorders>
            <w:vAlign w:val="center"/>
          </w:tcPr>
          <w:p>
            <w:pPr>
              <w:jc w:val="center"/>
              <w:rPr>
                <w:rFonts w:ascii="宋体" w:cs="宋体"/>
                <w:color w:val="000000"/>
                <w:kern w:val="0"/>
                <w:sz w:val="20"/>
                <w:szCs w:val="20"/>
              </w:rPr>
            </w:pPr>
            <w:r>
              <w:rPr>
                <w:rFonts w:ascii="宋体" w:cs="宋体"/>
                <w:color w:val="000000"/>
                <w:kern w:val="0"/>
                <w:sz w:val="20"/>
                <w:szCs w:val="20"/>
              </w:rPr>
              <w:t>34.56</w:t>
            </w:r>
          </w:p>
        </w:tc>
        <w:tc>
          <w:tcPr>
            <w:tcW w:w="1791" w:type="dxa"/>
            <w:gridSpan w:val="2"/>
            <w:tcBorders>
              <w:top w:val="nil"/>
              <w:left w:val="nil"/>
              <w:bottom w:val="single" w:color="auto" w:sz="4" w:space="0"/>
              <w:right w:val="single" w:color="auto" w:sz="4" w:space="0"/>
            </w:tcBorders>
            <w:vAlign w:val="center"/>
          </w:tcPr>
          <w:p>
            <w:pP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jc w:val="center"/>
              <w:rPr>
                <w:rFonts w:ascii="宋体" w:cs="宋体"/>
                <w:color w:val="000000"/>
                <w:kern w:val="0"/>
                <w:sz w:val="20"/>
                <w:szCs w:val="20"/>
              </w:rPr>
            </w:pPr>
            <w:r>
              <w:rPr>
                <w:rFonts w:ascii="宋体" w:cs="宋体"/>
                <w:color w:val="000000"/>
                <w:kern w:val="0"/>
                <w:sz w:val="20"/>
                <w:szCs w:val="20"/>
              </w:rPr>
              <w:t>34.56</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办公费</w:t>
            </w:r>
          </w:p>
        </w:tc>
        <w:tc>
          <w:tcPr>
            <w:tcW w:w="161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5.2</w:t>
            </w:r>
          </w:p>
        </w:tc>
        <w:tc>
          <w:tcPr>
            <w:tcW w:w="179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5.2</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05</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水电费</w:t>
            </w:r>
          </w:p>
        </w:tc>
        <w:tc>
          <w:tcPr>
            <w:tcW w:w="161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3.2</w:t>
            </w:r>
          </w:p>
        </w:tc>
        <w:tc>
          <w:tcPr>
            <w:tcW w:w="179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3.2</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邮电费</w:t>
            </w:r>
          </w:p>
        </w:tc>
        <w:tc>
          <w:tcPr>
            <w:tcW w:w="161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4</w:t>
            </w:r>
          </w:p>
        </w:tc>
        <w:tc>
          <w:tcPr>
            <w:tcW w:w="179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取暖费</w:t>
            </w:r>
          </w:p>
        </w:tc>
        <w:tc>
          <w:tcPr>
            <w:tcW w:w="161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6.69</w:t>
            </w:r>
          </w:p>
        </w:tc>
        <w:tc>
          <w:tcPr>
            <w:tcW w:w="179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6.69</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10</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交通费</w:t>
            </w:r>
          </w:p>
        </w:tc>
        <w:tc>
          <w:tcPr>
            <w:tcW w:w="161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0</w:t>
            </w:r>
          </w:p>
        </w:tc>
        <w:tc>
          <w:tcPr>
            <w:tcW w:w="179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差旅费</w:t>
            </w:r>
          </w:p>
        </w:tc>
        <w:tc>
          <w:tcPr>
            <w:tcW w:w="161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0.4</w:t>
            </w:r>
          </w:p>
        </w:tc>
        <w:tc>
          <w:tcPr>
            <w:tcW w:w="179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0.4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28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工会经费</w:t>
            </w:r>
          </w:p>
        </w:tc>
        <w:tc>
          <w:tcPr>
            <w:tcW w:w="161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7.92</w:t>
            </w:r>
          </w:p>
        </w:tc>
        <w:tc>
          <w:tcPr>
            <w:tcW w:w="179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7.92</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29</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福利费</w:t>
            </w:r>
          </w:p>
        </w:tc>
        <w:tc>
          <w:tcPr>
            <w:tcW w:w="161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7.1</w:t>
            </w:r>
          </w:p>
        </w:tc>
        <w:tc>
          <w:tcPr>
            <w:tcW w:w="179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7.1</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pPr>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hint="eastAsia" w:ascii="宋体" w:hAnsi="宋体" w:cs="宋体"/>
                <w:color w:val="000000"/>
                <w:kern w:val="0"/>
                <w:sz w:val="18"/>
                <w:szCs w:val="18"/>
              </w:rPr>
              <w:t>对个人和家庭的补助</w:t>
            </w:r>
          </w:p>
        </w:tc>
        <w:tc>
          <w:tcPr>
            <w:tcW w:w="161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17.23</w:t>
            </w:r>
          </w:p>
        </w:tc>
        <w:tc>
          <w:tcPr>
            <w:tcW w:w="179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17.23</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303</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其他对个人和家庭的补助支出</w:t>
            </w:r>
          </w:p>
        </w:tc>
        <w:tc>
          <w:tcPr>
            <w:tcW w:w="161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17.23</w:t>
            </w:r>
          </w:p>
        </w:tc>
        <w:tc>
          <w:tcPr>
            <w:tcW w:w="179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17.23</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合计</w:t>
            </w:r>
          </w:p>
        </w:tc>
        <w:tc>
          <w:tcPr>
            <w:tcW w:w="161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76</w:t>
            </w:r>
            <w:r>
              <w:rPr>
                <w:rFonts w:hint="eastAsia" w:ascii="宋体" w:hAnsi="宋体" w:cs="宋体"/>
                <w:color w:val="000000"/>
                <w:kern w:val="0"/>
                <w:sz w:val="20"/>
                <w:szCs w:val="20"/>
              </w:rPr>
              <w:t>9</w:t>
            </w:r>
            <w:r>
              <w:rPr>
                <w:rFonts w:ascii="宋体" w:hAnsi="宋体" w:cs="宋体"/>
                <w:color w:val="000000"/>
                <w:kern w:val="0"/>
                <w:sz w:val="20"/>
                <w:szCs w:val="20"/>
              </w:rPr>
              <w:t>.88</w:t>
            </w:r>
          </w:p>
        </w:tc>
        <w:tc>
          <w:tcPr>
            <w:tcW w:w="179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735.29</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34.56</w:t>
            </w:r>
          </w:p>
        </w:tc>
      </w:tr>
    </w:tbl>
    <w:p>
      <w:pPr>
        <w:rPr>
          <w:rFonts w:ascii="仿宋_GB2312" w:hAnsi="宋体" w:eastAsia="仿宋_GB2312"/>
          <w:b/>
          <w:kern w:val="0"/>
          <w:sz w:val="18"/>
          <w:szCs w:val="18"/>
        </w:rPr>
      </w:pPr>
      <w:r>
        <w:rPr>
          <w:rFonts w:ascii="仿宋_GB2312" w:hAnsi="宋体" w:eastAsia="仿宋_GB2312"/>
          <w:b/>
          <w:kern w:val="0"/>
          <w:sz w:val="18"/>
          <w:szCs w:val="18"/>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tblPrEx>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项目支出情况表</w:t>
            </w:r>
          </w:p>
        </w:tc>
      </w:tr>
      <w:tr>
        <w:tblPrEx>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编制部门：民丰县尼雅乡人民卫生院</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18"/>
                <w:szCs w:val="18"/>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p>
        </w:tc>
        <w:tc>
          <w:tcPr>
            <w:tcW w:w="2426" w:type="dxa"/>
            <w:gridSpan w:val="6"/>
            <w:tcBorders>
              <w:top w:val="nil"/>
              <w:left w:val="nil"/>
              <w:bottom w:val="nil"/>
              <w:right w:val="nil"/>
            </w:tcBorders>
            <w:vAlign w:val="center"/>
          </w:tcPr>
          <w:p>
            <w:pPr>
              <w:widowControl/>
              <w:ind w:firstLine="720" w:firstLineChars="400"/>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目</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编</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18"/>
                <w:szCs w:val="18"/>
              </w:rPr>
            </w:pPr>
            <w:r>
              <w:rPr>
                <w:rFonts w:hint="eastAsia" w:ascii="仿宋_GB2312" w:hAnsi="宋体" w:eastAsia="仿宋_GB2312"/>
                <w:b/>
                <w:kern w:val="0"/>
                <w:sz w:val="18"/>
                <w:szCs w:val="18"/>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vAlign w:val="center"/>
          </w:tcPr>
          <w:p>
            <w:pPr>
              <w:widowControl/>
              <w:jc w:val="left"/>
              <w:outlineLvl w:val="1"/>
              <w:rPr>
                <w:rFonts w:ascii="仿宋_GB2312" w:hAnsi="宋体" w:eastAsia="仿宋_GB2312"/>
                <w:b/>
                <w:kern w:val="0"/>
                <w:sz w:val="18"/>
                <w:szCs w:val="18"/>
              </w:rPr>
            </w:pPr>
          </w:p>
        </w:tc>
        <w:tc>
          <w:tcPr>
            <w:tcW w:w="1456" w:type="dxa"/>
            <w:vMerge w:val="continue"/>
          </w:tcPr>
          <w:p>
            <w:pPr>
              <w:widowControl/>
              <w:jc w:val="left"/>
              <w:outlineLvl w:val="1"/>
              <w:rPr>
                <w:rFonts w:ascii="仿宋_GB2312" w:hAnsi="宋体" w:eastAsia="仿宋_GB2312"/>
                <w:b/>
                <w:kern w:val="0"/>
                <w:sz w:val="18"/>
                <w:szCs w:val="18"/>
              </w:rPr>
            </w:pPr>
          </w:p>
        </w:tc>
        <w:tc>
          <w:tcPr>
            <w:tcW w:w="750" w:type="dxa"/>
            <w:vMerge w:val="continue"/>
          </w:tcPr>
          <w:p>
            <w:pPr>
              <w:widowControl/>
              <w:jc w:val="left"/>
              <w:outlineLvl w:val="1"/>
              <w:rPr>
                <w:rFonts w:ascii="仿宋_GB2312" w:hAnsi="宋体" w:eastAsia="仿宋_GB2312"/>
                <w:b/>
                <w:kern w:val="0"/>
                <w:sz w:val="18"/>
                <w:szCs w:val="18"/>
              </w:rPr>
            </w:pPr>
          </w:p>
        </w:tc>
        <w:tc>
          <w:tcPr>
            <w:tcW w:w="569" w:type="dxa"/>
            <w:gridSpan w:val="2"/>
            <w:vMerge w:val="continue"/>
          </w:tcPr>
          <w:p>
            <w:pPr>
              <w:widowControl/>
              <w:jc w:val="left"/>
              <w:outlineLvl w:val="1"/>
              <w:rPr>
                <w:rFonts w:ascii="仿宋_GB2312" w:hAnsi="宋体" w:eastAsia="仿宋_GB2312"/>
                <w:b/>
                <w:kern w:val="0"/>
                <w:sz w:val="18"/>
                <w:szCs w:val="18"/>
              </w:rPr>
            </w:pPr>
          </w:p>
        </w:tc>
        <w:tc>
          <w:tcPr>
            <w:tcW w:w="536" w:type="dxa"/>
            <w:vMerge w:val="continue"/>
          </w:tcPr>
          <w:p>
            <w:pPr>
              <w:widowControl/>
              <w:jc w:val="left"/>
              <w:outlineLvl w:val="1"/>
              <w:rPr>
                <w:rFonts w:ascii="仿宋_GB2312" w:hAnsi="宋体" w:eastAsia="仿宋_GB2312"/>
                <w:b/>
                <w:kern w:val="0"/>
                <w:sz w:val="18"/>
                <w:szCs w:val="18"/>
              </w:rPr>
            </w:pPr>
          </w:p>
        </w:tc>
        <w:tc>
          <w:tcPr>
            <w:tcW w:w="652" w:type="dxa"/>
            <w:vMerge w:val="continue"/>
          </w:tcPr>
          <w:p>
            <w:pPr>
              <w:widowControl/>
              <w:jc w:val="left"/>
              <w:outlineLvl w:val="1"/>
              <w:rPr>
                <w:rFonts w:ascii="仿宋_GB2312" w:hAnsi="宋体" w:eastAsia="仿宋_GB2312"/>
                <w:b/>
                <w:kern w:val="0"/>
                <w:sz w:val="18"/>
                <w:szCs w:val="18"/>
              </w:rPr>
            </w:pPr>
          </w:p>
        </w:tc>
        <w:tc>
          <w:tcPr>
            <w:tcW w:w="652" w:type="dxa"/>
            <w:vMerge w:val="continue"/>
          </w:tcPr>
          <w:p>
            <w:pPr>
              <w:widowControl/>
              <w:jc w:val="left"/>
              <w:outlineLvl w:val="1"/>
              <w:rPr>
                <w:rFonts w:ascii="仿宋_GB2312" w:hAnsi="宋体" w:eastAsia="仿宋_GB2312"/>
                <w:b/>
                <w:kern w:val="0"/>
                <w:sz w:val="18"/>
                <w:szCs w:val="18"/>
              </w:rPr>
            </w:pPr>
          </w:p>
        </w:tc>
        <w:tc>
          <w:tcPr>
            <w:tcW w:w="578" w:type="dxa"/>
            <w:gridSpan w:val="2"/>
            <w:vMerge w:val="continue"/>
          </w:tcPr>
          <w:p>
            <w:pPr>
              <w:widowControl/>
              <w:jc w:val="left"/>
              <w:outlineLvl w:val="1"/>
              <w:rPr>
                <w:rFonts w:ascii="仿宋_GB2312" w:hAnsi="宋体" w:eastAsia="仿宋_GB2312"/>
                <w:b/>
                <w:kern w:val="0"/>
                <w:sz w:val="18"/>
                <w:szCs w:val="18"/>
              </w:rPr>
            </w:pPr>
          </w:p>
        </w:tc>
        <w:tc>
          <w:tcPr>
            <w:tcW w:w="419" w:type="dxa"/>
            <w:vMerge w:val="continue"/>
          </w:tcPr>
          <w:p>
            <w:pPr>
              <w:widowControl/>
              <w:jc w:val="left"/>
              <w:outlineLvl w:val="1"/>
              <w:rPr>
                <w:rFonts w:ascii="仿宋_GB2312" w:hAnsi="宋体" w:eastAsia="仿宋_GB2312"/>
                <w:b/>
                <w:kern w:val="0"/>
                <w:sz w:val="18"/>
                <w:szCs w:val="18"/>
              </w:rPr>
            </w:pPr>
          </w:p>
        </w:tc>
        <w:tc>
          <w:tcPr>
            <w:tcW w:w="578" w:type="dxa"/>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397" w:type="dxa"/>
            <w:gridSpan w:val="2"/>
            <w:vMerge w:val="continue"/>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18"/>
                <w:szCs w:val="18"/>
              </w:rPr>
            </w:pPr>
          </w:p>
        </w:tc>
        <w:tc>
          <w:tcPr>
            <w:tcW w:w="397" w:type="dxa"/>
          </w:tcPr>
          <w:p>
            <w:pPr>
              <w:widowControl/>
              <w:jc w:val="left"/>
              <w:outlineLvl w:val="1"/>
              <w:rPr>
                <w:rFonts w:ascii="仿宋_GB2312" w:hAnsi="宋体" w:eastAsia="仿宋_GB2312"/>
                <w:kern w:val="0"/>
                <w:sz w:val="18"/>
                <w:szCs w:val="18"/>
              </w:rPr>
            </w:pPr>
          </w:p>
        </w:tc>
        <w:tc>
          <w:tcPr>
            <w:tcW w:w="397" w:type="dxa"/>
          </w:tcPr>
          <w:p>
            <w:pPr>
              <w:widowControl/>
              <w:jc w:val="left"/>
              <w:outlineLvl w:val="1"/>
              <w:rPr>
                <w:rFonts w:ascii="仿宋_GB2312" w:hAnsi="宋体" w:eastAsia="仿宋_GB2312"/>
                <w:kern w:val="0"/>
                <w:sz w:val="18"/>
                <w:szCs w:val="18"/>
              </w:rPr>
            </w:pPr>
          </w:p>
        </w:tc>
        <w:tc>
          <w:tcPr>
            <w:tcW w:w="851" w:type="dxa"/>
          </w:tcPr>
          <w:p>
            <w:pPr>
              <w:widowControl/>
              <w:jc w:val="left"/>
              <w:outlineLvl w:val="1"/>
              <w:rPr>
                <w:rFonts w:ascii="仿宋_GB2312" w:hAnsi="宋体" w:eastAsia="仿宋_GB2312"/>
                <w:kern w:val="0"/>
                <w:sz w:val="18"/>
                <w:szCs w:val="18"/>
              </w:rPr>
            </w:pPr>
          </w:p>
        </w:tc>
        <w:tc>
          <w:tcPr>
            <w:tcW w:w="1456" w:type="dxa"/>
          </w:tcPr>
          <w:p>
            <w:pPr>
              <w:widowControl/>
              <w:jc w:val="left"/>
              <w:outlineLvl w:val="1"/>
              <w:rPr>
                <w:rFonts w:ascii="仿宋_GB2312" w:hAnsi="宋体" w:eastAsia="仿宋_GB2312"/>
                <w:kern w:val="0"/>
                <w:sz w:val="18"/>
                <w:szCs w:val="18"/>
              </w:rPr>
            </w:pPr>
          </w:p>
        </w:tc>
        <w:tc>
          <w:tcPr>
            <w:tcW w:w="750" w:type="dxa"/>
          </w:tcPr>
          <w:p>
            <w:pPr>
              <w:widowControl/>
              <w:jc w:val="left"/>
              <w:outlineLvl w:val="1"/>
              <w:rPr>
                <w:rFonts w:ascii="仿宋_GB2312" w:hAnsi="宋体" w:eastAsia="仿宋_GB2312"/>
                <w:kern w:val="0"/>
                <w:sz w:val="18"/>
                <w:szCs w:val="18"/>
              </w:rPr>
            </w:pPr>
          </w:p>
        </w:tc>
        <w:tc>
          <w:tcPr>
            <w:tcW w:w="569" w:type="dxa"/>
            <w:gridSpan w:val="2"/>
          </w:tcPr>
          <w:p>
            <w:pPr>
              <w:widowControl/>
              <w:jc w:val="left"/>
              <w:outlineLvl w:val="1"/>
              <w:rPr>
                <w:rFonts w:ascii="仿宋_GB2312" w:hAnsi="宋体" w:eastAsia="仿宋_GB2312"/>
                <w:kern w:val="0"/>
                <w:sz w:val="18"/>
                <w:szCs w:val="18"/>
              </w:rPr>
            </w:pPr>
          </w:p>
        </w:tc>
        <w:tc>
          <w:tcPr>
            <w:tcW w:w="536" w:type="dxa"/>
          </w:tcPr>
          <w:p>
            <w:pPr>
              <w:widowControl/>
              <w:jc w:val="left"/>
              <w:outlineLvl w:val="1"/>
              <w:rPr>
                <w:rFonts w:ascii="仿宋_GB2312" w:hAnsi="宋体" w:eastAsia="仿宋_GB2312"/>
                <w:kern w:val="0"/>
                <w:sz w:val="18"/>
                <w:szCs w:val="18"/>
              </w:rPr>
            </w:pPr>
          </w:p>
        </w:tc>
        <w:tc>
          <w:tcPr>
            <w:tcW w:w="652" w:type="dxa"/>
          </w:tcPr>
          <w:p>
            <w:pPr>
              <w:widowControl/>
              <w:jc w:val="left"/>
              <w:outlineLvl w:val="1"/>
              <w:rPr>
                <w:rFonts w:ascii="仿宋_GB2312" w:hAnsi="宋体" w:eastAsia="仿宋_GB2312"/>
                <w:kern w:val="0"/>
                <w:sz w:val="18"/>
                <w:szCs w:val="18"/>
              </w:rPr>
            </w:pPr>
          </w:p>
        </w:tc>
        <w:tc>
          <w:tcPr>
            <w:tcW w:w="652" w:type="dxa"/>
          </w:tcPr>
          <w:p>
            <w:pPr>
              <w:widowControl/>
              <w:jc w:val="left"/>
              <w:outlineLvl w:val="1"/>
              <w:rPr>
                <w:rFonts w:ascii="仿宋_GB2312" w:hAnsi="宋体" w:eastAsia="仿宋_GB2312"/>
                <w:kern w:val="0"/>
                <w:sz w:val="18"/>
                <w:szCs w:val="18"/>
              </w:rPr>
            </w:pPr>
          </w:p>
        </w:tc>
        <w:tc>
          <w:tcPr>
            <w:tcW w:w="578" w:type="dxa"/>
            <w:gridSpan w:val="2"/>
          </w:tcPr>
          <w:p>
            <w:pPr>
              <w:widowControl/>
              <w:jc w:val="left"/>
              <w:outlineLvl w:val="1"/>
              <w:rPr>
                <w:rFonts w:ascii="仿宋_GB2312" w:hAnsi="宋体" w:eastAsia="仿宋_GB2312"/>
                <w:kern w:val="0"/>
                <w:sz w:val="18"/>
                <w:szCs w:val="18"/>
              </w:rPr>
            </w:pPr>
          </w:p>
        </w:tc>
        <w:tc>
          <w:tcPr>
            <w:tcW w:w="419" w:type="dxa"/>
          </w:tcPr>
          <w:p>
            <w:pPr>
              <w:widowControl/>
              <w:jc w:val="left"/>
              <w:outlineLvl w:val="1"/>
              <w:rPr>
                <w:rFonts w:ascii="仿宋_GB2312" w:hAnsi="宋体" w:eastAsia="仿宋_GB2312"/>
                <w:kern w:val="0"/>
                <w:sz w:val="18"/>
                <w:szCs w:val="18"/>
              </w:rPr>
            </w:pPr>
          </w:p>
        </w:tc>
        <w:tc>
          <w:tcPr>
            <w:tcW w:w="578" w:type="dxa"/>
          </w:tcPr>
          <w:p>
            <w:pPr>
              <w:widowControl/>
              <w:jc w:val="left"/>
              <w:outlineLvl w:val="1"/>
              <w:rPr>
                <w:rFonts w:ascii="仿宋_GB2312" w:hAnsi="宋体" w:eastAsia="仿宋_GB2312"/>
                <w:kern w:val="0"/>
                <w:sz w:val="18"/>
                <w:szCs w:val="18"/>
              </w:rPr>
            </w:pPr>
          </w:p>
        </w:tc>
        <w:tc>
          <w:tcPr>
            <w:tcW w:w="420" w:type="dxa"/>
          </w:tcPr>
          <w:p>
            <w:pPr>
              <w:widowControl/>
              <w:jc w:val="left"/>
              <w:outlineLvl w:val="1"/>
              <w:rPr>
                <w:rFonts w:ascii="仿宋_GB2312" w:hAnsi="宋体" w:eastAsia="仿宋_GB2312"/>
                <w:kern w:val="0"/>
                <w:sz w:val="18"/>
                <w:szCs w:val="18"/>
              </w:rPr>
            </w:pPr>
          </w:p>
        </w:tc>
        <w:tc>
          <w:tcPr>
            <w:tcW w:w="420" w:type="dxa"/>
          </w:tcPr>
          <w:p>
            <w:pPr>
              <w:widowControl/>
              <w:jc w:val="left"/>
              <w:outlineLvl w:val="1"/>
              <w:rPr>
                <w:rFonts w:ascii="仿宋_GB2312" w:hAnsi="宋体" w:eastAsia="仿宋_GB2312"/>
                <w:kern w:val="0"/>
                <w:sz w:val="18"/>
                <w:szCs w:val="18"/>
              </w:rPr>
            </w:pPr>
          </w:p>
        </w:tc>
        <w:tc>
          <w:tcPr>
            <w:tcW w:w="397" w:type="dxa"/>
            <w:gridSpan w:val="2"/>
          </w:tcPr>
          <w:p>
            <w:pPr>
              <w:widowControl/>
              <w:jc w:val="left"/>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32"/>
          <w:szCs w:val="32"/>
        </w:rPr>
        <w:t>备注：本单位无项目支出预算。</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sz w:val="28"/>
          <w:szCs w:val="28"/>
        </w:rPr>
        <w:t>民丰县尼雅乡人民卫生院</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kern w:val="0"/>
                <w:sz w:val="24"/>
              </w:rPr>
            </w:pPr>
          </w:p>
        </w:tc>
        <w:tc>
          <w:tcPr>
            <w:tcW w:w="1417" w:type="dxa"/>
            <w:tcBorders>
              <w:top w:val="nil"/>
              <w:left w:val="nil"/>
              <w:bottom w:val="single" w:color="auto" w:sz="4" w:space="0"/>
              <w:right w:val="single" w:color="auto" w:sz="4" w:space="0"/>
            </w:tcBorders>
            <w:vAlign w:val="center"/>
          </w:tcPr>
          <w:p>
            <w:pPr>
              <w:jc w:val="center"/>
              <w:rPr>
                <w:rFonts w:asci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4"/>
              </w:rPr>
            </w:pPr>
          </w:p>
        </w:tc>
        <w:tc>
          <w:tcPr>
            <w:tcW w:w="1418" w:type="dxa"/>
            <w:tcBorders>
              <w:top w:val="nil"/>
              <w:left w:val="nil"/>
              <w:bottom w:val="single" w:color="auto" w:sz="4" w:space="0"/>
              <w:right w:val="single" w:color="auto" w:sz="4" w:space="0"/>
            </w:tcBorders>
            <w:vAlign w:val="center"/>
          </w:tcPr>
          <w:p>
            <w:pPr>
              <w:jc w:val="center"/>
              <w:rPr>
                <w:rFonts w:asci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32"/>
          <w:szCs w:val="32"/>
        </w:rPr>
        <w:t>备注：本单位无一般公共预算“三公”经费支出.</w:t>
      </w:r>
    </w:p>
    <w:p>
      <w:pPr>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 xml:space="preserve">编制单位：民丰县尼雅乡人民卫生院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32"/>
          <w:szCs w:val="32"/>
        </w:rPr>
        <w:t>备注：本单位无政府性基金预算支出</w:t>
      </w:r>
      <w:r>
        <w:rPr>
          <w:rFonts w:hint="eastAsia" w:ascii="仿宋_GB2312" w:hAnsi="宋体" w:eastAsia="仿宋_GB2312"/>
          <w:b/>
          <w:kern w:val="0"/>
          <w:sz w:val="28"/>
          <w:szCs w:val="32"/>
        </w:rPr>
        <w:t>。</w:t>
      </w:r>
    </w:p>
    <w:p>
      <w:pPr>
        <w:widowControl/>
        <w:jc w:val="left"/>
        <w:outlineLvl w:val="1"/>
        <w:rPr>
          <w:rFonts w:ascii="仿宋_GB2312" w:hAnsi="宋体" w:eastAsia="仿宋_GB2312"/>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18" w:bottom="1928" w:left="1588" w:header="851" w:footer="992" w:gutter="0"/>
          <w:pgNumType w:fmt="numberInDash"/>
          <w:cols w:space="720" w:num="1"/>
          <w:docGrid w:linePitch="312" w:charSpace="0"/>
        </w:sect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2020</w:t>
      </w:r>
      <w:r>
        <w:rPr>
          <w:rFonts w:hint="eastAsia" w:ascii="黑体" w:hAnsi="黑体" w:eastAsia="黑体"/>
          <w:kern w:val="0"/>
          <w:sz w:val="32"/>
          <w:szCs w:val="32"/>
        </w:rPr>
        <w:t>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关于民丰县尼雅乡人民卫生院</w:t>
      </w:r>
      <w:r>
        <w:rPr>
          <w:rFonts w:ascii="黑体" w:hAnsi="宋体" w:eastAsia="黑体" w:cs="宋体"/>
          <w:kern w:val="0"/>
          <w:sz w:val="32"/>
          <w:szCs w:val="32"/>
        </w:rPr>
        <w:t>2020</w:t>
      </w:r>
      <w:r>
        <w:rPr>
          <w:rFonts w:hint="eastAsia" w:ascii="黑体" w:hAnsi="宋体" w:eastAsia="黑体" w:cs="宋体"/>
          <w:kern w:val="0"/>
          <w:sz w:val="32"/>
          <w:szCs w:val="32"/>
        </w:rPr>
        <w:t>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sz w:val="28"/>
          <w:szCs w:val="28"/>
        </w:rPr>
        <w:t>民丰县尼雅乡人民卫生院</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年所有收入和支出均纳入部门预算管理。收支总预算</w:t>
      </w:r>
      <w:r>
        <w:rPr>
          <w:rFonts w:ascii="仿宋_GB2312" w:hAnsi="宋体" w:eastAsia="仿宋_GB2312" w:cs="宋体"/>
          <w:kern w:val="0"/>
          <w:sz w:val="32"/>
          <w:szCs w:val="32"/>
        </w:rPr>
        <w:t>769.88</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widowControl/>
        <w:spacing w:line="580" w:lineRule="exact"/>
        <w:ind w:firstLine="64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支出预算包括：社会保障和就业支出、卫生健康支出</w:t>
      </w:r>
      <w:r>
        <w:rPr>
          <w:rFonts w:hint="eastAsia" w:ascii="仿宋_GB2312" w:hAnsi="宋体" w:eastAsia="仿宋_GB2312" w:cs="宋体"/>
          <w:kern w:val="0"/>
          <w:sz w:val="32"/>
          <w:szCs w:val="32"/>
          <w:lang w:eastAsia="zh-CN"/>
        </w:rPr>
        <w:t>。</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二、关于民丰县尼雅乡人民卫生院2020年收入预算情况说明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民丰县尼雅乡人民卫生院收入预算769.88万元，其中：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769.88</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，比上年减少</w:t>
      </w:r>
      <w:r>
        <w:rPr>
          <w:rFonts w:ascii="仿宋_GB2312" w:hAnsi="宋体" w:eastAsia="仿宋_GB2312" w:cs="宋体"/>
          <w:kern w:val="0"/>
          <w:sz w:val="32"/>
          <w:szCs w:val="32"/>
        </w:rPr>
        <w:t>0.99</w:t>
      </w:r>
      <w:r>
        <w:rPr>
          <w:rFonts w:hint="eastAsia" w:ascii="仿宋_GB2312" w:hAnsi="宋体" w:eastAsia="仿宋_GB2312" w:cs="宋体"/>
          <w:kern w:val="0"/>
          <w:sz w:val="32"/>
          <w:szCs w:val="32"/>
        </w:rPr>
        <w:t>万元，主要原因是没有预算公用经费减少；</w:t>
      </w:r>
    </w:p>
    <w:p>
      <w:pPr>
        <w:widowControl/>
        <w:spacing w:line="580" w:lineRule="exact"/>
        <w:ind w:firstLine="640"/>
        <w:jc w:val="left"/>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三、关于民丰县尼雅乡人民卫生院</w:t>
      </w:r>
      <w:r>
        <w:rPr>
          <w:rFonts w:ascii="黑体" w:hAnsi="宋体" w:eastAsia="黑体" w:cs="宋体"/>
          <w:kern w:val="0"/>
          <w:sz w:val="32"/>
          <w:szCs w:val="32"/>
        </w:rPr>
        <w:t>2020</w:t>
      </w:r>
      <w:r>
        <w:rPr>
          <w:rFonts w:hint="eastAsia" w:ascii="黑体" w:hAnsi="宋体" w:eastAsia="黑体" w:cs="宋体"/>
          <w:kern w:val="0"/>
          <w:sz w:val="32"/>
          <w:szCs w:val="32"/>
        </w:rPr>
        <w:t>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民丰县尼雅乡人民卫生院</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年支出预算</w:t>
      </w:r>
      <w:r>
        <w:rPr>
          <w:rFonts w:ascii="仿宋_GB2312" w:hAnsi="宋体" w:eastAsia="仿宋_GB2312" w:cs="宋体"/>
          <w:kern w:val="0"/>
          <w:sz w:val="32"/>
          <w:szCs w:val="32"/>
        </w:rPr>
        <w:t>769.88</w:t>
      </w:r>
      <w:r>
        <w:rPr>
          <w:rFonts w:hint="eastAsia" w:ascii="仿宋_GB2312" w:hAnsi="宋体" w:eastAsia="仿宋_GB2312" w:cs="宋体"/>
          <w:kern w:val="0"/>
          <w:sz w:val="32"/>
          <w:szCs w:val="32"/>
        </w:rPr>
        <w:t>万元，其中：</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769.88</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，比上年减少</w:t>
      </w:r>
      <w:r>
        <w:rPr>
          <w:rFonts w:ascii="仿宋_GB2312" w:hAnsi="宋体" w:eastAsia="仿宋_GB2312" w:cs="宋体"/>
          <w:kern w:val="0"/>
          <w:sz w:val="32"/>
          <w:szCs w:val="32"/>
        </w:rPr>
        <w:t>0.99</w:t>
      </w:r>
      <w:r>
        <w:rPr>
          <w:rFonts w:hint="eastAsia" w:ascii="仿宋_GB2312" w:hAnsi="宋体" w:eastAsia="仿宋_GB2312" w:cs="宋体"/>
          <w:kern w:val="0"/>
          <w:sz w:val="32"/>
          <w:szCs w:val="32"/>
        </w:rPr>
        <w:t>万元，主要原因是上年没有预算费减少。</w:t>
      </w:r>
    </w:p>
    <w:p>
      <w:pPr>
        <w:widowControl/>
        <w:spacing w:line="580" w:lineRule="exact"/>
        <w:ind w:firstLine="64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万元，主要原因是 </w:t>
      </w:r>
      <w:r>
        <w:rPr>
          <w:rFonts w:hint="eastAsia" w:ascii="仿宋_GB2312" w:hAnsi="宋体" w:eastAsia="仿宋_GB2312" w:cs="宋体"/>
          <w:kern w:val="0"/>
          <w:sz w:val="32"/>
          <w:szCs w:val="32"/>
          <w:lang w:eastAsia="zh-CN"/>
        </w:rPr>
        <w:t>未做项目预算。</w:t>
      </w:r>
    </w:p>
    <w:p>
      <w:pPr>
        <w:widowControl/>
        <w:spacing w:line="580" w:lineRule="exact"/>
        <w:ind w:firstLine="640"/>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四、关于民丰县尼雅乡人民卫生院2020年财政拨款收支预算情况的总体说明</w:t>
      </w:r>
    </w:p>
    <w:p>
      <w:pPr>
        <w:spacing w:line="58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年财政拨款收支总预算</w:t>
      </w:r>
      <w:r>
        <w:rPr>
          <w:rFonts w:ascii="仿宋_GB2312" w:hAnsi="宋体" w:eastAsia="仿宋_GB2312" w:cs="宋体"/>
          <w:kern w:val="0"/>
          <w:sz w:val="32"/>
          <w:szCs w:val="32"/>
        </w:rPr>
        <w:t>769.88</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支出预算包括：卫生健康支出</w:t>
      </w:r>
      <w:r>
        <w:rPr>
          <w:rFonts w:hint="eastAsia" w:ascii="仿宋_GB2312" w:hAnsi="宋体" w:eastAsia="仿宋_GB2312" w:cs="宋体"/>
          <w:kern w:val="0"/>
          <w:sz w:val="32"/>
          <w:szCs w:val="32"/>
          <w:lang w:val="en-US" w:eastAsia="zh-CN"/>
        </w:rPr>
        <w:t>664.69</w:t>
      </w:r>
      <w:r>
        <w:rPr>
          <w:rFonts w:hint="eastAsia" w:ascii="仿宋_GB2312" w:hAnsi="宋体" w:eastAsia="仿宋_GB2312" w:cs="宋体"/>
          <w:kern w:val="0"/>
          <w:sz w:val="32"/>
          <w:szCs w:val="32"/>
        </w:rPr>
        <w:t>万元，主要用于工资福利支出、对个人和家庭的补助，商品和服务支出；社会保障和就业支出 105.1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万元，主要用于机关事业单位基本养老保险缴费.</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五、关于民丰县尼雅乡人民卫生院2020年一般公共预算当年拨款情况说明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民丰县尼雅乡人民卫生院2020年一般公共预算拨款基本支出</w:t>
      </w:r>
      <w:r>
        <w:rPr>
          <w:rFonts w:ascii="仿宋_GB2312" w:hAnsi="宋体" w:eastAsia="仿宋_GB2312" w:cs="宋体"/>
          <w:kern w:val="0"/>
          <w:sz w:val="32"/>
          <w:szCs w:val="32"/>
        </w:rPr>
        <w:t>769.88</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8.58</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17.85%</w:t>
      </w:r>
      <w:r>
        <w:rPr>
          <w:rFonts w:hint="eastAsia" w:ascii="仿宋_GB2312" w:hAnsi="宋体" w:eastAsia="仿宋_GB2312" w:cs="宋体"/>
          <w:kern w:val="0"/>
          <w:sz w:val="32"/>
          <w:szCs w:val="32"/>
        </w:rPr>
        <w:t>。主要原因是：减少经费开支。</w:t>
      </w:r>
    </w:p>
    <w:p>
      <w:pPr>
        <w:widowControl/>
        <w:numPr>
          <w:ilvl w:val="0"/>
          <w:numId w:val="1"/>
        </w:numPr>
        <w:spacing w:line="580" w:lineRule="exact"/>
        <w:ind w:firstLine="642"/>
        <w:jc w:val="left"/>
        <w:rPr>
          <w:rFonts w:ascii="楷体_GB2312" w:hAnsi="宋体" w:eastAsia="楷体_GB2312" w:cs="宋体"/>
          <w:bCs/>
          <w:kern w:val="0"/>
          <w:sz w:val="32"/>
          <w:szCs w:val="32"/>
        </w:rPr>
      </w:pPr>
      <w:r>
        <w:rPr>
          <w:rFonts w:hint="eastAsia" w:ascii="楷体_GB2312" w:hAnsi="宋体" w:eastAsia="楷体_GB2312" w:cs="宋体"/>
          <w:b/>
          <w:kern w:val="0"/>
          <w:sz w:val="32"/>
          <w:szCs w:val="32"/>
        </w:rPr>
        <w:t>一般公共预算当年拨款结构情况</w:t>
      </w:r>
    </w:p>
    <w:p>
      <w:pPr>
        <w:spacing w:line="580" w:lineRule="exact"/>
        <w:ind w:firstLine="640"/>
        <w:rPr>
          <w:rFonts w:ascii="仿宋_GB2312" w:hAnsi="宋体" w:eastAsia="仿宋_GB2312" w:cs="宋体"/>
          <w:kern w:val="0"/>
          <w:sz w:val="32"/>
          <w:szCs w:val="32"/>
        </w:rPr>
      </w:pPr>
      <w:r>
        <w:rPr>
          <w:rFonts w:ascii="仿宋_GB2312" w:eastAsia="仿宋_GB2312"/>
          <w:sz w:val="32"/>
          <w:szCs w:val="32"/>
        </w:rPr>
        <w:t>1.</w:t>
      </w:r>
      <w:r>
        <w:rPr>
          <w:rFonts w:hint="eastAsia" w:ascii="仿宋_GB2312" w:hAnsi="宋体" w:eastAsia="仿宋_GB2312" w:cs="宋体"/>
          <w:kern w:val="0"/>
          <w:sz w:val="32"/>
          <w:szCs w:val="32"/>
        </w:rPr>
        <w:t>卫生健康支出（类</w:t>
      </w:r>
      <w:r>
        <w:rPr>
          <w:rFonts w:hint="eastAsia" w:ascii="仿宋_GB2312" w:eastAsia="仿宋_GB2312"/>
          <w:sz w:val="32"/>
          <w:szCs w:val="32"/>
        </w:rPr>
        <w:t>）</w:t>
      </w:r>
      <w:r>
        <w:rPr>
          <w:rFonts w:hint="eastAsia" w:ascii="仿宋_GB2312" w:hAnsi="宋体" w:eastAsia="仿宋_GB2312" w:cs="宋体"/>
          <w:kern w:val="0"/>
          <w:sz w:val="32"/>
          <w:szCs w:val="32"/>
        </w:rPr>
        <w:t>664.69万元，占</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86.33</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p>
    <w:p>
      <w:pPr>
        <w:spacing w:line="58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社会保障和就业支出</w:t>
      </w:r>
      <w:r>
        <w:rPr>
          <w:rFonts w:hint="eastAsia" w:ascii="仿宋_GB2312" w:eastAsia="仿宋_GB2312"/>
          <w:sz w:val="32"/>
          <w:szCs w:val="32"/>
        </w:rPr>
        <w:t>（类）</w:t>
      </w:r>
      <w:r>
        <w:rPr>
          <w:rFonts w:ascii="仿宋_GB2312" w:eastAsia="仿宋_GB2312"/>
          <w:sz w:val="32"/>
          <w:szCs w:val="32"/>
        </w:rPr>
        <w:t>105.19</w:t>
      </w:r>
      <w:r>
        <w:rPr>
          <w:rFonts w:hint="eastAsia" w:ascii="仿宋_GB2312" w:hAnsi="宋体" w:eastAsia="仿宋_GB2312" w:cs="宋体"/>
          <w:kern w:val="0"/>
          <w:sz w:val="32"/>
          <w:szCs w:val="32"/>
        </w:rPr>
        <w:t>万元，占13.67</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1.2100</w:t>
      </w:r>
      <w:r>
        <w:rPr>
          <w:rFonts w:hint="eastAsia" w:ascii="仿宋_GB2312" w:hAnsi="宋体" w:eastAsia="仿宋_GB2312" w:cs="宋体"/>
          <w:kern w:val="0"/>
          <w:sz w:val="32"/>
          <w:szCs w:val="32"/>
        </w:rPr>
        <w:t>302 卫生健康支出（类）基层医疗卫生机构（款）乡镇卫生院（项）:2020年预算数为664.69万元，比上年执行数增加664.69万元，增长100%，主要原因是：民丰县尼雅乡人民卫生院为新增预算单位，2019年未做部门预算。</w:t>
      </w:r>
    </w:p>
    <w:p>
      <w:pPr>
        <w:spacing w:line="580" w:lineRule="exact"/>
        <w:ind w:firstLine="640"/>
        <w:rPr>
          <w:rFonts w:ascii="仿宋_GB2312" w:hAnsi="宋体" w:eastAsia="仿宋_GB2312" w:cs="宋体"/>
          <w:kern w:val="0"/>
          <w:sz w:val="32"/>
          <w:szCs w:val="32"/>
        </w:rPr>
      </w:pPr>
      <w:r>
        <w:rPr>
          <w:rFonts w:ascii="楷体_GB2312" w:hAnsi="宋体" w:eastAsia="楷体_GB2312" w:cs="宋体"/>
          <w:kern w:val="0"/>
          <w:sz w:val="32"/>
          <w:szCs w:val="32"/>
        </w:rPr>
        <w:t>2.</w:t>
      </w:r>
      <w:r>
        <w:rPr>
          <w:rFonts w:ascii="仿宋_GB2312" w:hAnsi="宋体" w:eastAsia="仿宋_GB2312" w:cs="宋体"/>
          <w:kern w:val="0"/>
          <w:sz w:val="32"/>
          <w:szCs w:val="32"/>
        </w:rPr>
        <w:t>2080505</w:t>
      </w:r>
      <w:r>
        <w:rPr>
          <w:rFonts w:hint="eastAsia" w:ascii="仿宋_GB2312" w:hAnsi="宋体" w:eastAsia="仿宋_GB2312" w:cs="宋体"/>
          <w:kern w:val="0"/>
          <w:sz w:val="32"/>
          <w:szCs w:val="32"/>
        </w:rPr>
        <w:t>社会保障和就业支出（类）行政事业单位养老支出（款）机关事业单位基本养老保险缴费支出（项）</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年预算数为</w:t>
      </w:r>
      <w:r>
        <w:rPr>
          <w:rFonts w:ascii="仿宋_GB2312" w:eastAsia="仿宋_GB2312"/>
          <w:sz w:val="32"/>
          <w:szCs w:val="32"/>
        </w:rPr>
        <w:t>105.19</w:t>
      </w:r>
      <w:r>
        <w:rPr>
          <w:rFonts w:hint="eastAsia" w:ascii="仿宋_GB2312" w:hAnsi="宋体" w:eastAsia="仿宋_GB2312" w:cs="宋体"/>
          <w:kern w:val="0"/>
          <w:sz w:val="32"/>
          <w:szCs w:val="32"/>
        </w:rPr>
        <w:t>万元，比上年执行数增</w:t>
      </w:r>
      <w:r>
        <w:rPr>
          <w:rFonts w:ascii="仿宋_GB2312" w:eastAsia="仿宋_GB2312"/>
          <w:sz w:val="32"/>
          <w:szCs w:val="32"/>
        </w:rPr>
        <w:t>105.19</w:t>
      </w:r>
      <w:r>
        <w:rPr>
          <w:rFonts w:hint="eastAsia" w:ascii="仿宋_GB2312" w:hAnsi="宋体" w:eastAsia="仿宋_GB2312" w:cs="宋体"/>
          <w:kern w:val="0"/>
          <w:sz w:val="32"/>
          <w:szCs w:val="32"/>
        </w:rPr>
        <w:t>万元，增长100</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，主要原因是：民丰县尼雅乡人民卫生院为新增预算单位，2019年未做部门预算。</w:t>
      </w:r>
    </w:p>
    <w:p>
      <w:pPr>
        <w:widowControl/>
        <w:numPr>
          <w:ilvl w:val="0"/>
          <w:numId w:val="2"/>
        </w:numPr>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关于民丰县尼雅乡人民卫生院2020年一般公共预算基本支出情况说明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民丰县尼雅乡人民卫生院2020年一般公共预算基本支出</w:t>
      </w:r>
      <w:r>
        <w:rPr>
          <w:rFonts w:ascii="仿宋_GB2312" w:hAnsi="宋体" w:eastAsia="仿宋_GB2312" w:cs="宋体"/>
          <w:kern w:val="0"/>
          <w:sz w:val="32"/>
          <w:szCs w:val="32"/>
        </w:rPr>
        <w:t>769.88</w:t>
      </w:r>
      <w:r>
        <w:rPr>
          <w:rFonts w:hint="eastAsia" w:ascii="仿宋_GB2312" w:hAnsi="宋体" w:eastAsia="仿宋_GB2312" w:cs="宋体"/>
          <w:kern w:val="0"/>
          <w:sz w:val="32"/>
          <w:szCs w:val="32"/>
        </w:rPr>
        <w:t>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人员经费</w:t>
      </w:r>
      <w:r>
        <w:rPr>
          <w:rFonts w:hint="eastAsia" w:ascii="仿宋_GB2312" w:hAnsi="宋体" w:eastAsia="仿宋_GB2312" w:cs="宋体"/>
          <w:kern w:val="0"/>
          <w:sz w:val="32"/>
          <w:szCs w:val="32"/>
        </w:rPr>
        <w:t>735.29万元，主要包括：基本工资、津贴补贴、奖金、社会保障缴费、不随工资发放的津补贴、住房公积金、其他工资福利支出、其他对个人和家庭的补助支出。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公用经费</w:t>
      </w:r>
      <w:r>
        <w:rPr>
          <w:rFonts w:ascii="仿宋_GB2312" w:hAnsi="宋体" w:eastAsia="仿宋_GB2312" w:cs="宋体"/>
          <w:kern w:val="0"/>
          <w:sz w:val="32"/>
          <w:szCs w:val="32"/>
        </w:rPr>
        <w:t>34.56</w:t>
      </w:r>
      <w:r>
        <w:rPr>
          <w:rFonts w:hint="eastAsia" w:ascii="仿宋_GB2312" w:hAnsi="宋体" w:eastAsia="仿宋_GB2312" w:cs="宋体"/>
          <w:kern w:val="0"/>
          <w:sz w:val="32"/>
          <w:szCs w:val="32"/>
        </w:rPr>
        <w:t>万元，主要包括：办公费、水电费、邮电费、取暖费、交通费、差旅费、工会经费、福利费。</w:t>
      </w:r>
    </w:p>
    <w:p>
      <w:pPr>
        <w:widowControl/>
        <w:numPr>
          <w:ilvl w:val="0"/>
          <w:numId w:val="3"/>
        </w:numPr>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关于民丰县尼雅乡人民卫生院2020年项目支出情况说明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仿宋_GB2312" w:eastAsia="仿宋_GB2312" w:cs="仿宋_GB2312"/>
          <w:kern w:val="0"/>
          <w:sz w:val="32"/>
          <w:szCs w:val="32"/>
        </w:rPr>
        <w:t>本单位</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年无预算项目支出</w:t>
      </w:r>
      <w:r>
        <w:rPr>
          <w:rFonts w:hint="eastAsia" w:ascii="仿宋_GB2312" w:hAnsi="宋体" w:eastAsia="仿宋_GB2312" w:cs="宋体"/>
          <w:kern w:val="0"/>
          <w:sz w:val="32"/>
          <w:szCs w:val="32"/>
        </w:rPr>
        <w:t>。</w:t>
      </w:r>
    </w:p>
    <w:p>
      <w:pPr>
        <w:widowControl/>
        <w:spacing w:line="56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八、关于民丰县尼雅乡人民卫生院</w:t>
      </w:r>
      <w:r>
        <w:rPr>
          <w:rFonts w:ascii="黑体" w:hAnsi="宋体" w:eastAsia="黑体" w:cs="宋体"/>
          <w:kern w:val="0"/>
          <w:sz w:val="32"/>
          <w:szCs w:val="32"/>
        </w:rPr>
        <w:t>2020</w:t>
      </w:r>
      <w:r>
        <w:rPr>
          <w:rFonts w:hint="eastAsia" w:ascii="黑体" w:hAnsi="宋体" w:eastAsia="黑体" w:cs="宋体"/>
          <w:kern w:val="0"/>
          <w:sz w:val="32"/>
          <w:szCs w:val="32"/>
        </w:rPr>
        <w:t>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民丰县尼雅乡人民卫生院2020年“三公”经费财政拨款预算数为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万元，其中：因公出国（境）费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万元，公务用车运行费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年“三公”经费财政拨款预算与上年一致，其中：因公出国（境）费为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万元，主要原因是未安排预算</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；公务用车购置费为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万元，未安排预算；公务用车运行费与上年一致；公务接待费为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万元，未安排预算</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九、关于民丰县尼雅乡人民卫生院2020年政府性基金预算拨款情况说明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民丰县尼雅乡人民卫生院2020年没有使用政府性基金预算拨款安排的支出，政府性基金预算支出情况表为空表。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 xml:space="preserve">年，民丰县尼雅乡人民卫生院本级及下属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家行政单位和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家事业单位的机关运行经费财政拨款预算     </w:t>
      </w:r>
      <w:r>
        <w:rPr>
          <w:rFonts w:ascii="仿宋_GB2312" w:hAnsi="宋体" w:eastAsia="仿宋_GB2312" w:cs="宋体"/>
          <w:kern w:val="0"/>
          <w:sz w:val="32"/>
          <w:szCs w:val="32"/>
        </w:rPr>
        <w:t>34.56</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比上年预算增加34.56万元，增长100</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。主要原因本单位2020年新增单位。</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020年，民丰县尼雅乡人民卫生院及下属单位政府采购预算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万元，其中：政府采购货物预算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万元，政府采购工程预算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万元，政府采购服务预算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仿宋_GB2312" w:eastAsia="仿宋_GB2312"/>
          <w:sz w:val="32"/>
        </w:rPr>
        <w:t>2020</w:t>
      </w:r>
      <w:r>
        <w:rPr>
          <w:rFonts w:hint="eastAsia" w:ascii="仿宋_GB2312" w:hAnsi="仿宋_GB2312" w:eastAsia="仿宋_GB2312"/>
          <w:sz w:val="32"/>
        </w:rPr>
        <w:t>年度本部门面向中小企业预留政府采购项目预算金额</w:t>
      </w:r>
      <w:r>
        <w:rPr>
          <w:rFonts w:ascii="仿宋_GB2312" w:hAnsi="仿宋_GB2312" w:eastAsia="仿宋_GB2312"/>
          <w:sz w:val="32"/>
        </w:rPr>
        <w:t>0</w:t>
      </w:r>
      <w:r>
        <w:rPr>
          <w:rFonts w:hint="eastAsia" w:ascii="仿宋_GB2312" w:hAnsi="仿宋_GB2312" w:eastAsia="仿宋_GB2312"/>
          <w:sz w:val="32"/>
        </w:rPr>
        <w:t>万元，其中：面向小微企业预留政府采购项目预算金额</w:t>
      </w:r>
      <w:r>
        <w:rPr>
          <w:rFonts w:ascii="仿宋_GB2312" w:hAnsi="仿宋_GB2312" w:eastAsia="仿宋_GB2312"/>
          <w:sz w:val="32"/>
        </w:rPr>
        <w:t>0</w:t>
      </w:r>
      <w:r>
        <w:rPr>
          <w:rFonts w:hint="eastAsia" w:ascii="仿宋_GB2312" w:hAnsi="仿宋_GB2312" w:eastAsia="仿宋_GB2312"/>
          <w:sz w:val="32"/>
        </w:rPr>
        <w:t>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截至2019年底，民丰县尼雅乡人民卫生院工作办公室及下属各预算单位占用使用国有资产总体情况为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车辆1辆，价值12万元；其中：一般公务用车</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万元；执法执勤用车1辆，价值12万元；其他车辆0辆，价值</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办公家具价值</w:t>
      </w:r>
      <w:r>
        <w:rPr>
          <w:rFonts w:ascii="仿宋_GB2312" w:hAnsi="宋体" w:eastAsia="仿宋_GB2312" w:cs="宋体"/>
          <w:kern w:val="0"/>
          <w:sz w:val="32"/>
          <w:szCs w:val="32"/>
        </w:rPr>
        <w:t>10</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其他资产价值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 xml:space="preserve">0 </w:t>
      </w:r>
      <w:r>
        <w:rPr>
          <w:rFonts w:hint="eastAsia" w:ascii="仿宋_GB2312" w:hAnsi="宋体" w:eastAsia="仿宋_GB2312" w:cs="宋体"/>
          <w:kern w:val="0"/>
          <w:sz w:val="32"/>
          <w:szCs w:val="32"/>
        </w:rPr>
        <w:t>台（套）。</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年部门预算未安排购置车辆经费（或安排购置车辆经费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万元），安排购置</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年度，本年度实行绩效管理的项目</w:t>
      </w:r>
      <w:r>
        <w:rPr>
          <w:rFonts w:ascii="仿宋_GB2312" w:hAnsi="宋体" w:eastAsia="仿宋_GB2312" w:cs="宋体"/>
          <w:kern w:val="0"/>
          <w:sz w:val="32"/>
          <w:szCs w:val="32"/>
        </w:rPr>
        <w:t>0</w:t>
      </w:r>
      <w:r>
        <w:rPr>
          <w:rFonts w:hint="eastAsia" w:ascii="仿宋_GB2312" w:hAnsi="宋体" w:eastAsia="仿宋_GB2312" w:cs="宋体"/>
          <w:kern w:val="0"/>
          <w:sz w:val="32"/>
          <w:szCs w:val="32"/>
        </w:rPr>
        <w:t>个，涉及预算金额</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cs="宋体"/>
                <w:color w:val="000000"/>
                <w:kern w:val="0"/>
                <w:sz w:val="22"/>
              </w:rPr>
            </w:pPr>
          </w:p>
        </w:tc>
        <w:tc>
          <w:tcPr>
            <w:tcW w:w="1857" w:type="dxa"/>
            <w:tcBorders>
              <w:top w:val="nil"/>
              <w:left w:val="nil"/>
              <w:bottom w:val="nil"/>
              <w:right w:val="nil"/>
            </w:tcBorders>
            <w:vAlign w:val="bottom"/>
          </w:tcPr>
          <w:p>
            <w:pPr>
              <w:widowControl/>
              <w:jc w:val="left"/>
              <w:rPr>
                <w:rFonts w:ascii="宋体" w:cs="宋体"/>
                <w:color w:val="000000"/>
                <w:kern w:val="0"/>
                <w:sz w:val="22"/>
              </w:rPr>
            </w:pPr>
          </w:p>
        </w:tc>
        <w:tc>
          <w:tcPr>
            <w:tcW w:w="1664" w:type="dxa"/>
            <w:tcBorders>
              <w:top w:val="nil"/>
              <w:left w:val="nil"/>
              <w:bottom w:val="nil"/>
              <w:right w:val="nil"/>
            </w:tcBorders>
            <w:vAlign w:val="bottom"/>
          </w:tcPr>
          <w:p>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cs="宋体"/>
                <w:color w:val="000000"/>
                <w:kern w:val="0"/>
                <w:sz w:val="22"/>
              </w:rPr>
            </w:pPr>
          </w:p>
        </w:tc>
        <w:tc>
          <w:tcPr>
            <w:tcW w:w="323" w:type="dxa"/>
            <w:tcBorders>
              <w:top w:val="nil"/>
              <w:left w:val="nil"/>
              <w:bottom w:val="nil"/>
              <w:right w:val="nil"/>
            </w:tcBorders>
            <w:vAlign w:val="bottom"/>
          </w:tcPr>
          <w:p>
            <w:pPr>
              <w:widowControl/>
              <w:jc w:val="left"/>
              <w:rPr>
                <w:rFonts w:ascii="宋体" w:cs="宋体"/>
                <w:color w:val="000000"/>
                <w:kern w:val="0"/>
                <w:sz w:val="22"/>
              </w:rPr>
            </w:pPr>
          </w:p>
        </w:tc>
        <w:tc>
          <w:tcPr>
            <w:tcW w:w="323" w:type="dxa"/>
            <w:tcBorders>
              <w:top w:val="nil"/>
              <w:left w:val="nil"/>
              <w:bottom w:val="nil"/>
              <w:right w:val="nil"/>
            </w:tcBorders>
            <w:vAlign w:val="bottom"/>
          </w:tcPr>
          <w:p>
            <w:pPr>
              <w:widowControl/>
              <w:jc w:val="left"/>
              <w:rPr>
                <w:rFonts w:ascii="宋体" w:cs="宋体"/>
                <w:color w:val="000000"/>
                <w:kern w:val="0"/>
                <w:sz w:val="22"/>
              </w:rPr>
            </w:pPr>
          </w:p>
        </w:tc>
        <w:tc>
          <w:tcPr>
            <w:tcW w:w="1925" w:type="dxa"/>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XXXXX</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720" w:num="1"/>
          <w:docGrid w:type="lines" w:linePitch="312" w:charSpace="0"/>
        </w:sectPr>
      </w:pPr>
    </w:p>
    <w:p>
      <w:pPr>
        <w:widowControl/>
        <w:numPr>
          <w:ilvl w:val="0"/>
          <w:numId w:val="4"/>
        </w:numPr>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其他需说明的事项</w:t>
      </w:r>
    </w:p>
    <w:p>
      <w:pPr>
        <w:widowControl/>
        <w:spacing w:line="560" w:lineRule="exact"/>
        <w:ind w:firstLine="1600" w:firstLineChars="5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四、基本支出：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五、项目支出：</w:t>
      </w:r>
      <w:r>
        <w:rPr>
          <w:rFonts w:hint="eastAsia" w:ascii="仿宋_GB2312" w:eastAsia="仿宋_GB2312"/>
          <w:sz w:val="32"/>
          <w:szCs w:val="32"/>
        </w:rPr>
        <w:t>部门支出预算的组成部分，是和田地区本级部门为完成其特定的行政任务或事业发展目标，在基本支出预算之外编制的年度项目支出计划。</w:t>
      </w:r>
    </w:p>
    <w:p>
      <w:pPr>
        <w:spacing w:line="550" w:lineRule="exact"/>
        <w:ind w:firstLine="642"/>
        <w:rPr>
          <w:rFonts w:hint="eastAsia" w:ascii="仿宋_GB2312" w:eastAsia="仿宋_GB2312"/>
          <w:sz w:val="32"/>
          <w:szCs w:val="32"/>
        </w:rPr>
      </w:pPr>
      <w:r>
        <w:rPr>
          <w:rFonts w:hint="eastAsia" w:ascii="黑体" w:hAnsi="黑体" w:eastAsia="黑体"/>
          <w:sz w:val="32"/>
          <w:szCs w:val="32"/>
          <w:lang w:eastAsia="zh-CN"/>
        </w:rPr>
        <w:t>六</w:t>
      </w:r>
      <w:r>
        <w:rPr>
          <w:rFonts w:hint="eastAsia" w:ascii="黑体" w:hAnsi="黑体" w:eastAsia="黑体"/>
          <w:sz w:val="32"/>
          <w:szCs w:val="32"/>
        </w:rPr>
        <w:t>、“三公”经费：</w:t>
      </w:r>
      <w:r>
        <w:rPr>
          <w:rFonts w:hint="eastAsia" w:ascii="仿宋_GB2312" w:eastAsia="仿宋_GB2312"/>
          <w:sz w:val="32"/>
          <w:szCs w:val="32"/>
        </w:rPr>
        <w:t>指民丰县尼雅乡人民卫生院用一般公共预算财政拨款安排的公务用车运行费。其中，公务用车运行费指单位公务用车购置费及租用费、燃料费、维修费、过路过桥费、保险费、等支出；</w:t>
      </w:r>
    </w:p>
    <w:p>
      <w:pPr>
        <w:spacing w:line="55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sz w:val="32"/>
          <w:szCs w:val="32"/>
          <w:lang w:eastAsia="zh-CN"/>
        </w:rPr>
        <w:t>七</w:t>
      </w:r>
      <w:r>
        <w:rPr>
          <w:rFonts w:hint="eastAsia" w:ascii="黑体" w:hAnsi="黑体" w:eastAsia="黑体"/>
          <w:sz w:val="32"/>
          <w:szCs w:val="32"/>
        </w:rPr>
        <w:t>、机关运行经费：</w:t>
      </w:r>
      <w:r>
        <w:rPr>
          <w:rFonts w:hint="eastAsia" w:ascii="仿宋_GB2312" w:eastAsia="仿宋_GB2312"/>
          <w:sz w:val="32"/>
          <w:szCs w:val="32"/>
        </w:rPr>
        <w:t>指民丰县尼雅乡人民卫生院的公用经费，包括办公及印刷费、邮电费、差旅费、会议费、福利费、办公用房水电费、办公用房取暖费及其他费用。</w:t>
      </w:r>
    </w:p>
    <w:p>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sz w:val="28"/>
          <w:szCs w:val="28"/>
        </w:rPr>
        <w:t>民丰县尼雅乡人民卫生院</w:t>
      </w:r>
    </w:p>
    <w:p>
      <w:pPr>
        <w:widowControl/>
        <w:spacing w:line="560" w:lineRule="exact"/>
        <w:jc w:val="left"/>
        <w:rPr>
          <w:highlight w:val="yellow"/>
        </w:rPr>
      </w:pPr>
      <w:r>
        <w:rPr>
          <w:rFonts w:ascii="仿宋_GB2312" w:hAnsi="宋体" w:eastAsia="仿宋_GB2312" w:cs="宋体"/>
          <w:kern w:val="0"/>
          <w:sz w:val="32"/>
          <w:szCs w:val="32"/>
        </w:rPr>
        <w:t xml:space="preserve">                        2020 </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F7609"/>
    <w:multiLevelType w:val="singleLevel"/>
    <w:tmpl w:val="5C8F7609"/>
    <w:lvl w:ilvl="0" w:tentative="0">
      <w:start w:val="5"/>
      <w:numFmt w:val="chineseCounting"/>
      <w:suff w:val="nothing"/>
      <w:lvlText w:val="（%1）"/>
      <w:lvlJc w:val="left"/>
      <w:rPr>
        <w:rFonts w:cs="Times New Roman"/>
      </w:rPr>
    </w:lvl>
  </w:abstractNum>
  <w:abstractNum w:abstractNumId="1">
    <w:nsid w:val="5CB969AD"/>
    <w:multiLevelType w:val="singleLevel"/>
    <w:tmpl w:val="5CB969AD"/>
    <w:lvl w:ilvl="0" w:tentative="0">
      <w:start w:val="7"/>
      <w:numFmt w:val="chineseCounting"/>
      <w:suff w:val="nothing"/>
      <w:lvlText w:val="%1、"/>
      <w:lvlJc w:val="left"/>
      <w:rPr>
        <w:rFonts w:cs="Times New Roman"/>
      </w:rPr>
    </w:lvl>
  </w:abstractNum>
  <w:abstractNum w:abstractNumId="2">
    <w:nsid w:val="5CB9819E"/>
    <w:multiLevelType w:val="singleLevel"/>
    <w:tmpl w:val="5CB9819E"/>
    <w:lvl w:ilvl="0" w:tentative="0">
      <w:start w:val="2"/>
      <w:numFmt w:val="chineseCounting"/>
      <w:suff w:val="nothing"/>
      <w:lvlText w:val="（%1）"/>
      <w:lvlJc w:val="left"/>
      <w:rPr>
        <w:rFonts w:cs="Times New Roman"/>
      </w:rPr>
    </w:lvl>
  </w:abstractNum>
  <w:abstractNum w:abstractNumId="3">
    <w:nsid w:val="5CB982D4"/>
    <w:multiLevelType w:val="singleLevel"/>
    <w:tmpl w:val="5CB982D4"/>
    <w:lvl w:ilvl="0" w:tentative="0">
      <w:start w:val="6"/>
      <w:numFmt w:val="chineseCounting"/>
      <w:suff w:val="nothing"/>
      <w:lvlText w:val="%1、"/>
      <w:lvlJc w:val="left"/>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891"/>
    <w:rsid w:val="003F11AE"/>
    <w:rsid w:val="00F54891"/>
    <w:rsid w:val="018F6D6A"/>
    <w:rsid w:val="22FB662D"/>
    <w:rsid w:val="44750213"/>
    <w:rsid w:val="4AD813B1"/>
    <w:rsid w:val="6D93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qFormat/>
    <w:uiPriority w:val="99"/>
    <w:rPr>
      <w:sz w:val="18"/>
      <w:szCs w:val="18"/>
    </w:rPr>
  </w:style>
  <w:style w:type="paragraph" w:styleId="3">
    <w:name w:val="footer"/>
    <w:basedOn w:val="1"/>
    <w:link w:val="17"/>
    <w:qFormat/>
    <w:uiPriority w:val="99"/>
    <w:pPr>
      <w:tabs>
        <w:tab w:val="center" w:pos="4153"/>
        <w:tab w:val="right" w:pos="8306"/>
      </w:tabs>
      <w:snapToGrid w:val="0"/>
      <w:jc w:val="left"/>
    </w:pPr>
    <w:rPr>
      <w:rFonts w:eastAsia="黑体"/>
      <w:kern w:val="0"/>
      <w:sz w:val="18"/>
      <w:szCs w:val="18"/>
    </w:rPr>
  </w:style>
  <w:style w:type="paragraph" w:styleId="4">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9"/>
    <w:qFormat/>
    <w:uiPriority w:val="99"/>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99"/>
    <w:rPr>
      <w:rFonts w:cs="Times New Roman"/>
      <w:b/>
    </w:rPr>
  </w:style>
  <w:style w:type="character" w:styleId="10">
    <w:name w:val="page number"/>
    <w:basedOn w:val="8"/>
    <w:qFormat/>
    <w:uiPriority w:val="99"/>
    <w:rPr>
      <w:rFonts w:cs="Times New Roman"/>
    </w:rPr>
  </w:style>
  <w:style w:type="paragraph" w:customStyle="1" w:styleId="11">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
    <w:name w:val="List Paragraph1"/>
    <w:basedOn w:val="1"/>
    <w:qFormat/>
    <w:uiPriority w:val="99"/>
    <w:pPr>
      <w:ind w:firstLine="420" w:firstLineChars="200"/>
    </w:pPr>
    <w:rPr>
      <w:rFonts w:ascii="Calibri" w:hAnsi="Calibri"/>
      <w:szCs w:val="22"/>
    </w:rPr>
  </w:style>
  <w:style w:type="paragraph" w:customStyle="1" w:styleId="13">
    <w:name w:val="普通(网站)1"/>
    <w:basedOn w:val="1"/>
    <w:qFormat/>
    <w:uiPriority w:val="99"/>
    <w:rPr>
      <w:rFonts w:ascii="Calibri" w:hAnsi="Calibri" w:cs="黑体"/>
      <w:sz w:val="24"/>
    </w:rPr>
  </w:style>
  <w:style w:type="paragraph" w:customStyle="1" w:styleId="14">
    <w:name w:val="普通(网站)2"/>
    <w:basedOn w:val="1"/>
    <w:qFormat/>
    <w:uiPriority w:val="99"/>
    <w:rPr>
      <w:rFonts w:ascii="Calibri" w:hAnsi="Calibri" w:cs="黑体"/>
      <w:sz w:val="24"/>
    </w:rPr>
  </w:style>
  <w:style w:type="paragraph" w:customStyle="1" w:styleId="15">
    <w:name w:val="普通(网站)3"/>
    <w:basedOn w:val="1"/>
    <w:qFormat/>
    <w:uiPriority w:val="99"/>
    <w:rPr>
      <w:rFonts w:ascii="Calibri" w:hAnsi="Calibri" w:cs="黑体"/>
      <w:sz w:val="24"/>
    </w:rPr>
  </w:style>
  <w:style w:type="character" w:customStyle="1" w:styleId="16">
    <w:name w:val="批注框文本 字符"/>
    <w:basedOn w:val="8"/>
    <w:link w:val="2"/>
    <w:qFormat/>
    <w:uiPriority w:val="99"/>
    <w:rPr>
      <w:rFonts w:ascii="Times New Roman" w:hAnsi="Times New Roman" w:eastAsia="宋体" w:cs="Times New Roman"/>
      <w:sz w:val="18"/>
      <w:szCs w:val="18"/>
    </w:rPr>
  </w:style>
  <w:style w:type="character" w:customStyle="1" w:styleId="17">
    <w:name w:val="页脚 字符"/>
    <w:basedOn w:val="8"/>
    <w:link w:val="3"/>
    <w:qFormat/>
    <w:uiPriority w:val="99"/>
    <w:rPr>
      <w:rFonts w:ascii="Times New Roman" w:hAnsi="Times New Roman" w:eastAsia="黑体" w:cs="Times New Roman"/>
      <w:snapToGrid w:val="0"/>
      <w:kern w:val="0"/>
      <w:sz w:val="18"/>
      <w:szCs w:val="18"/>
    </w:rPr>
  </w:style>
  <w:style w:type="character" w:customStyle="1" w:styleId="18">
    <w:name w:val="页眉 字符"/>
    <w:basedOn w:val="8"/>
    <w:link w:val="4"/>
    <w:qFormat/>
    <w:uiPriority w:val="99"/>
    <w:rPr>
      <w:rFonts w:ascii="Times New Roman" w:hAnsi="Times New Roman" w:eastAsia="宋体" w:cs="Times New Roman"/>
      <w:sz w:val="18"/>
      <w:szCs w:val="18"/>
    </w:rPr>
  </w:style>
  <w:style w:type="character" w:customStyle="1" w:styleId="19">
    <w:name w:val="正文文本缩进 3 字符"/>
    <w:basedOn w:val="8"/>
    <w:link w:val="5"/>
    <w:qFormat/>
    <w:uiPriority w:val="99"/>
    <w:rPr>
      <w:rFonts w:ascii="Times New Roman" w:hAnsi="Times New Roman" w:eastAsia="仿宋_GB2312"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1425</Words>
  <Characters>8127</Characters>
  <Lines>67</Lines>
  <Paragraphs>19</Paragraphs>
  <TotalTime>1</TotalTime>
  <ScaleCrop>false</ScaleCrop>
  <LinksUpToDate>false</LinksUpToDate>
  <CharactersWithSpaces>9533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2020-03-26T02:46:00Z</dcterms:created>
  <dc:creator>王怡</dc:creator>
  <cp:lastModifiedBy>^_^玫瑰人生^_^</cp:lastModifiedBy>
  <dcterms:modified xsi:type="dcterms:W3CDTF">2020-06-24T10:04:09Z</dcterms:modified>
  <dc:title>民丰县尼雅乡人民卫生院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