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民丰县兰城乡人民政府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626.17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一般公共服务支出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政府办公厅（室）及相关机构事务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0"/>
              </w:tabs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95.74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0"/>
              </w:tabs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721.91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647"/>
        <w:gridCol w:w="2064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一般公共服务支出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626.17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615.17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政府办公厅（室）及相关机构事务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626.17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615.17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626.17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615.17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0"/>
              </w:tabs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95.74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0"/>
              </w:tabs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行政事业单位养老支出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721.91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710.91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</w:tbl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721.91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626.17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626.17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721.91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721.91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721.91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721.91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民丰县兰城乡人民政府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626.17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政府办公厅（室）及相关机构事务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615.17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615.17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0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0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95.74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721.91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民丰县兰城乡人民政府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358.36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710.91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17.95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民丰县兰城乡人民政府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一般公共服务支出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政府办公厅（室）及相关机构事务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11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行政运行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11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11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备注：本单位无三公经费支出。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民丰县兰城乡人民政府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721.91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721.91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721.91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公用经费增加。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721.91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710.91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人员工资上调，人员支出增加。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村级运转经费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项目增加，去年未安排村级运转经费。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721.91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left="319" w:leftChars="152" w:firstLine="308" w:firstLineChars="100"/>
        <w:rPr>
          <w:rFonts w:ascii="仿宋_GB2312" w:hAnsi="宋体" w:eastAsia="仿宋_GB2312" w:cs="宋体"/>
          <w:b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626.17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万元，主要用于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工资福利支出、商品服务支出，对个人和家族的补助支出等；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95.74万元，主要用于机关事业单位养老保险支出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710.91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人员工资上调，人员支出增加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626.17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95.74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2010301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政府办公厅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626.17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增加经费开支。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95.74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7.43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工资基数调整。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710.91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社会保障缴费、住房公积金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万元，主要包括：办公费、取暖费、工会经费、福利费等。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村级运转经费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新党委【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9号文件。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11万元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民丰县兰城乡人民政府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已分配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；公务用车购置费为0，未安排预算。或公务用车购置费增加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人员工资上调，工会福利费基数也随工资增加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民丰县兰城乡人民政府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村级运转经费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abs>
                <w:tab w:val="left" w:pos="3473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1：保障民丰县兰城村正常运转；</w:t>
            </w:r>
          </w:p>
          <w:p>
            <w:pPr>
              <w:widowControl/>
              <w:tabs>
                <w:tab w:val="left" w:pos="3473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目标2：通过该项目的实施，保持社会持续稳定，经济健康发展，基层党组织得到壮大和巩固，服务群众有效推进。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村组织运转经费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组织运转经费发放及时率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维护村运转个数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组织运转经费覆盖率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=100%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组织运转经费发放准确率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维持基层组织正常运转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提高基层党组织办公效率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提升业务能力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工作人员满意度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96%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96%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包括公共财政拨款（补助）资金收入。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民丰县兰城乡人民政府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用一般公共预算财政拨款安排的公务用车运行费。其中，公务用车运行费指单位公务用车租用费、燃料费、维修费、过路过桥费、保险费等支出。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bCs/>
          <w:sz w:val="32"/>
          <w:szCs w:val="32"/>
        </w:rPr>
        <w:t>、机</w:t>
      </w:r>
      <w:r>
        <w:rPr>
          <w:rFonts w:hint="eastAsia" w:ascii="黑体" w:hAnsi="黑体" w:eastAsia="黑体"/>
          <w:sz w:val="32"/>
          <w:szCs w:val="32"/>
        </w:rPr>
        <w:t>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民丰县兰城乡人民政府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115D"/>
    <w:rsid w:val="216258DA"/>
    <w:rsid w:val="2DFD79D7"/>
    <w:rsid w:val="463144A7"/>
    <w:rsid w:val="514413A8"/>
    <w:rsid w:val="53F73190"/>
    <w:rsid w:val="5B21501F"/>
    <w:rsid w:val="753479FE"/>
    <w:rsid w:val="7D0D1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6">
    <w:name w:val="页脚 Char Char"/>
    <w:basedOn w:val="8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7">
    <w:name w:val="批注框文本 Char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 Char"/>
    <w:basedOn w:val="8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2020-06-24T10:01:02Z</dcterms:modified>
  <dc:title>民丰县兰城乡人民政府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