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民丰县林业和草原局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2020年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林业和草原局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林业和草原局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门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林业和草原局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林业和草原局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1815.08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1815.08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972"/>
        <w:gridCol w:w="930"/>
        <w:gridCol w:w="435"/>
        <w:gridCol w:w="523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农林水支出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其他林业和草原支出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547.24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547.24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08 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林业和草原局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其他林业和草原支出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547.24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547.24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1267.84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547.24　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编制部门：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民丰县林业和草原局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99.47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99.47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1715.61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民丰县林业和草原局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农林水支出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其他林业和草原支出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547.24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99.47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547.24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民丰县林业和草原局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664.39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664.39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不随工资发放的津补贴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564.17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1267.84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1228.56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39.28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859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551"/>
        <w:gridCol w:w="66"/>
        <w:gridCol w:w="420"/>
        <w:gridCol w:w="480"/>
        <w:gridCol w:w="916"/>
        <w:gridCol w:w="1285"/>
        <w:gridCol w:w="639"/>
        <w:gridCol w:w="209"/>
        <w:gridCol w:w="569"/>
        <w:gridCol w:w="217"/>
        <w:gridCol w:w="319"/>
        <w:gridCol w:w="586"/>
        <w:gridCol w:w="480"/>
        <w:gridCol w:w="297"/>
        <w:gridCol w:w="373"/>
        <w:gridCol w:w="474"/>
        <w:gridCol w:w="669"/>
        <w:gridCol w:w="420"/>
        <w:gridCol w:w="420"/>
        <w:gridCol w:w="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85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民丰县林业和草原局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8" w:type="dxa"/>
            <w:gridSpan w:val="5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48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70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1367" w:hRule="atLeast"/>
        </w:trPr>
        <w:tc>
          <w:tcPr>
            <w:tcW w:w="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85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7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213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农林水支出</w:t>
            </w: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  <w:t>547.24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gridSpan w:val="2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  <w:t>222</w:t>
            </w: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325.24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10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both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  <w:t>02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both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林业和草原</w:t>
            </w: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  <w:t>222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536" w:type="dxa"/>
            <w:gridSpan w:val="2"/>
            <w:vAlign w:val="center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  <w:t>222</w:t>
            </w: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50" w:hRule="atLeast"/>
        </w:trPr>
        <w:tc>
          <w:tcPr>
            <w:tcW w:w="61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01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行政运行</w:t>
            </w: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2020年滴灌电费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  <w:t>222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  <w:t>222</w:t>
            </w: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15" w:hRule="atLeast"/>
        </w:trPr>
        <w:tc>
          <w:tcPr>
            <w:tcW w:w="6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其他林业和草原支出</w:t>
            </w:r>
          </w:p>
        </w:tc>
        <w:tc>
          <w:tcPr>
            <w:tcW w:w="128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2020年民丰县债务还本支出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325.24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325.24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hint="eastAsia" w:ascii="仿宋_GB2312" w:hAnsi="宋体" w:eastAsia="仿宋_GB2312"/>
                <w:kern w:val="0"/>
                <w:sz w:val="15"/>
                <w:szCs w:val="15"/>
                <w:lang w:eastAsia="zh-CN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61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85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85" w:hRule="atLeast"/>
        </w:trPr>
        <w:tc>
          <w:tcPr>
            <w:tcW w:w="5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1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  <w:lang w:val="en-US" w:eastAsia="zh-CN"/>
              </w:rPr>
              <w:t>547.24</w:t>
            </w:r>
          </w:p>
        </w:tc>
        <w:tc>
          <w:tcPr>
            <w:tcW w:w="5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222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8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8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70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325.24</w:t>
            </w:r>
          </w:p>
        </w:tc>
        <w:tc>
          <w:tcPr>
            <w:tcW w:w="474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民丰县林业和草原局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民丰县林业和草原局   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年所有收入和支出均纳入部门预算管理。收支总预算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1815.08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支出预算包括：社会保障和就业支出、农林水支出。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收入预算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1815.08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1815.08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1815.08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本单位机构改革以后新成立预算单位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黑体" w:hAnsi="宋体" w:eastAsia="黑体" w:cs="宋体"/>
          <w:kern w:val="0"/>
          <w:sz w:val="32"/>
          <w:szCs w:val="32"/>
        </w:rPr>
        <w:t>单位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1815.08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基本支出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1267.84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万元，占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69.85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%，比上年增加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1267.84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主要原因是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本单位机构改革以后新成立预算单位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   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547.24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 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547.24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本单位机构改革以后新成立预算单位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   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情况的总体说明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年财政拨款收支总预算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1815.08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jc w:val="both"/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宋体" w:eastAsia="仿宋_GB2312" w:cs="宋体"/>
          <w:color w:val="auto"/>
          <w:spacing w:val="-6"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支出预算包括：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99.47万元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主要用于机关事业单位养老保险支出；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农林水支出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1715.61万元，用于工资福利支出，商品服务支出，对个人和家庭的补助等支出。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（一）一般公用预算当年拨款规模变化情况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民丰县林业和草原局2020年一般公共预算拨款基本支出 1267.84 万元，比上年执行数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1267.84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%。 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本单位机构改革以后新成立预算单位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   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农林水支出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1168.37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万元，占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92.2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社会保障和就业支出（类）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99.47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213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0201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农林水支出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林业和草原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行政运行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1168.37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比上年执行数增加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1168.37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本单位机构改革以后新成立预算单位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；   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213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0299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农林水支出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林业和草原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000000"/>
          <w:sz w:val="20"/>
          <w:szCs w:val="20"/>
          <w:lang w:val="en-US" w:eastAsia="zh-CN"/>
        </w:rPr>
        <w:t>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他林业和草原支出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）：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547.24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 xml:space="preserve">万元，比上年执行数增加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547.24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本单位机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构改革以后新成立预算单位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99.47万元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99.47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比上年执行数增加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99.47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本单位机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构改革以后新成立预算单位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民丰县林业和草原局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年一般公共预算基本支出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1267.84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人员经费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1228.56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基本工资、津贴补贴、奖金、绩效工资、机关事业单位基本养老保险缴费、职业年金缴费、职工基本医疗保险缴费、公务员医疗补助缴费、其他社会保障缴费、住房公积金、医疗费、其他工资福利支出、退休费、生活补助、其他对个人和家庭的补助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公用经费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万元，主要包括：主要包括：办公费、水电费、邮电费、取暖费、交通费、差旅费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、工会经费、福利费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2020年民丰县滴灌补助项目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民财预【2020】1号文件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222万元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民丰县林业和草原局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315国道，工业园区，万亩生态园滴灌电费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2020年1月1日-2020年12月31日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项目</w:t>
      </w:r>
      <w:r>
        <w:rPr>
          <w:rFonts w:ascii="仿宋_GB2312" w:hAnsi="黑体" w:eastAsia="仿宋_GB2312"/>
          <w:color w:val="auto"/>
          <w:sz w:val="32"/>
          <w:szCs w:val="32"/>
        </w:rPr>
        <w:t>名称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2020年民丰县债务还本支出</w:t>
      </w:r>
    </w:p>
    <w:p>
      <w:pPr>
        <w:widowControl w:val="0"/>
        <w:spacing w:line="560" w:lineRule="exact"/>
        <w:ind w:firstLine="361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18"/>
          <w:szCs w:val="18"/>
          <w:lang w:val="en-US" w:eastAsia="zh-CN"/>
        </w:rPr>
        <w:t xml:space="preserve">  </w:t>
      </w:r>
      <w:r>
        <w:rPr>
          <w:rFonts w:ascii="仿宋_GB2312" w:hAnsi="黑体" w:eastAsia="仿宋_GB2312"/>
          <w:color w:val="auto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民财预【2020】1号文件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325.24万元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民丰县林业和草原局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color w:val="auto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5个超概算项目债务还本支出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ascii="仿宋_GB2312" w:hAnsi="黑体" w:eastAsia="仿宋_GB2312"/>
          <w:color w:val="auto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2020年1月1日-2020年12月31日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年“三公”经费财政拨款预算数为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万元，其中：因公出国（境）费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万元，公务用车购置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万元，公务用车运行费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万元，公务接待费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万元，其中：因公出国（境）费增加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预算未安排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；公务用车购置费为0，未安排预算。公务用车运行费增加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本年增加预算安排；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公务接待费增加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预算未安排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林业和草原局2020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民丰县林业和草原局2020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十、其他重要事项的情况说明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本级及下属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家行政单位和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家事业单位的机关运行经费财政拨款预算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39.28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万元，比上年预算增加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39.28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万元，增长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%。主要原因是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今年林草局从农林牧兽医局调出，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本单位发生机构改革，未单独做2019年预算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楷体_GB2312" w:hAnsi="宋体" w:eastAsia="楷体_GB2312" w:cs="宋体"/>
          <w:b/>
          <w:kern w:val="0"/>
          <w:sz w:val="32"/>
          <w:szCs w:val="32"/>
          <w:highlight w:val="yellow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及下属单位政府采购预算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万元，其中：政府采购货物预算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万元，政府采购工程预算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万元，政府采购服务预算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</w:t>
      </w:r>
      <w:r>
        <w:rPr>
          <w:rFonts w:hint="eastAsia" w:ascii="仿宋_GB2312" w:hAnsi="仿宋_GB2312" w:eastAsia="仿宋_GB2312"/>
          <w:sz w:val="32"/>
          <w:lang w:val="en-US" w:eastAsia="zh-CN"/>
        </w:rPr>
        <w:t>林业和草原局</w:t>
      </w:r>
      <w:r>
        <w:rPr>
          <w:rFonts w:hint="eastAsia" w:ascii="仿宋_GB2312" w:hAnsi="仿宋_GB2312" w:eastAsia="仿宋_GB2312"/>
          <w:sz w:val="32"/>
        </w:rPr>
        <w:t>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（与自然资源局合署办公）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2.车辆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106.627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万元；其中：一般公务用车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辆，价值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106.627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万元；其他车辆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辆，价值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32.6301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539.904690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预算未安排购置车辆经费，。</w:t>
      </w:r>
    </w:p>
    <w:p>
      <w:pPr>
        <w:widowControl w:val="0"/>
        <w:spacing w:line="560" w:lineRule="exact"/>
        <w:ind w:firstLine="643" w:firstLineChars="200"/>
        <w:jc w:val="both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年度，本年度实行绩效管理的项目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547.24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8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836"/>
        <w:gridCol w:w="1645"/>
        <w:gridCol w:w="495"/>
        <w:gridCol w:w="1150"/>
        <w:gridCol w:w="319"/>
        <w:gridCol w:w="319"/>
        <w:gridCol w:w="1"/>
        <w:gridCol w:w="1"/>
        <w:gridCol w:w="1901"/>
        <w:gridCol w:w="1"/>
        <w:gridCol w:w="1"/>
        <w:gridCol w:w="244"/>
        <w:gridCol w:w="2"/>
        <w:gridCol w:w="1119"/>
        <w:gridCol w:w="2117"/>
        <w:gridCol w:w="246"/>
        <w:gridCol w:w="246"/>
        <w:gridCol w:w="2"/>
        <w:gridCol w:w="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8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271" w:hRule="atLeast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71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7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民丰县林业和草原局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2020年民丰县滴灌补助项目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71" w:hRule="atLeast"/>
        </w:trPr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222万元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222万元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646" w:type="dxa"/>
            <w:gridSpan w:val="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目标1：该项目主要补助民丰县315国道绿化林带，万亩生态园，工业园区绿化滴灌的滴灌电费；2.目标2：通过该项目的实施可以减轻用电的绿化部门的财政压力，有效提升用电部门电力保障能力。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补助电费成本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0.23009万元/千瓦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电费补助及时率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电费补助开始时间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电费补助结束时间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2020年12月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补助用电的绿化部门数量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电费补助覆盖率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项目持续影响时间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用电部门电力保障能力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明显提升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改善生态环境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有效改善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受助用电单位满意度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16" w:type="dxa"/>
            <w:gridSpan w:val="2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8" w:hRule="atLeast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7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民丰县林业和草原局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2020年民丰县债务还本支出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71" w:hRule="atLeast"/>
        </w:trPr>
        <w:tc>
          <w:tcPr>
            <w:tcW w:w="2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325.24万元</w:t>
            </w:r>
          </w:p>
        </w:tc>
        <w:tc>
          <w:tcPr>
            <w:tcW w:w="1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325.24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646" w:type="dxa"/>
            <w:gridSpan w:val="1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尼雅乡其木力克吾斯塘村高效节水灌溉项目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39万元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尼雅乡其木力克吾斯塘村高效节水项目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工业园区绿化项目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46.24万元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尼雅乡红柳大芸基地基础设施配套建设项目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315国道绿化项目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100万元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偿还及时率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偿还项目数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偿还完成率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项目持续时间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提高项目债务偿还率，促进资金使用良性循环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推进防沙治沙技术工程化，产业化应用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遏制民丰县生态环境恶化和沙化蔓延的趋势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有效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07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债权人满意度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eastAsia="仿宋_GB2312"/>
          <w:sz w:val="32"/>
          <w:szCs w:val="32"/>
        </w:rPr>
        <w:t>支出预算的组成部分，是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eastAsia="仿宋_GB2312"/>
          <w:sz w:val="32"/>
          <w:szCs w:val="32"/>
        </w:rPr>
        <w:t>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eastAsia="仿宋_GB2312"/>
          <w:sz w:val="32"/>
          <w:szCs w:val="32"/>
        </w:rPr>
        <w:t>用一般公共预算财政拨款安排的因公出国（境）费、公务用车购置及运行费和公务接待费。其中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公务用车购置及运行费指单位公务用车租用费、燃料费、维修费、保险费等支出；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ind w:left="5760" w:hanging="5760" w:hangingChars="18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民丰县林业和草原局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val="en-US" w:eastAsia="zh-CN"/>
        </w:rPr>
        <w:t>2020年5月15日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2776C0"/>
    <w:rsid w:val="002B5144"/>
    <w:rsid w:val="00325B17"/>
    <w:rsid w:val="00F56E0A"/>
    <w:rsid w:val="00FC6ABD"/>
    <w:rsid w:val="01E300EB"/>
    <w:rsid w:val="022F67E1"/>
    <w:rsid w:val="024A5143"/>
    <w:rsid w:val="024E7C34"/>
    <w:rsid w:val="02AA72DB"/>
    <w:rsid w:val="036F4F34"/>
    <w:rsid w:val="03775485"/>
    <w:rsid w:val="03BE232A"/>
    <w:rsid w:val="048B2DBC"/>
    <w:rsid w:val="0568325C"/>
    <w:rsid w:val="056C5DE0"/>
    <w:rsid w:val="0724405A"/>
    <w:rsid w:val="07926BB2"/>
    <w:rsid w:val="07A614DB"/>
    <w:rsid w:val="083F3F26"/>
    <w:rsid w:val="08936835"/>
    <w:rsid w:val="0929279F"/>
    <w:rsid w:val="094A28F5"/>
    <w:rsid w:val="097A38A0"/>
    <w:rsid w:val="0D3F26BA"/>
    <w:rsid w:val="0D562A21"/>
    <w:rsid w:val="0E510DB2"/>
    <w:rsid w:val="0FBD4A9A"/>
    <w:rsid w:val="11B82998"/>
    <w:rsid w:val="11C62FCD"/>
    <w:rsid w:val="11CD0531"/>
    <w:rsid w:val="134B58BF"/>
    <w:rsid w:val="1390306C"/>
    <w:rsid w:val="1452080B"/>
    <w:rsid w:val="15FC32C4"/>
    <w:rsid w:val="160E10B1"/>
    <w:rsid w:val="16CC35E5"/>
    <w:rsid w:val="17116864"/>
    <w:rsid w:val="177E49AD"/>
    <w:rsid w:val="1A5523CE"/>
    <w:rsid w:val="1AE76936"/>
    <w:rsid w:val="1B270EF1"/>
    <w:rsid w:val="1CFE13AB"/>
    <w:rsid w:val="1F44626F"/>
    <w:rsid w:val="20322974"/>
    <w:rsid w:val="210F5402"/>
    <w:rsid w:val="23413402"/>
    <w:rsid w:val="23F365C1"/>
    <w:rsid w:val="252C6260"/>
    <w:rsid w:val="255472E1"/>
    <w:rsid w:val="25C8244E"/>
    <w:rsid w:val="27F35E7E"/>
    <w:rsid w:val="28E25F51"/>
    <w:rsid w:val="299E2FC7"/>
    <w:rsid w:val="2A6F25F2"/>
    <w:rsid w:val="2AC96367"/>
    <w:rsid w:val="2BC96841"/>
    <w:rsid w:val="2CCB2716"/>
    <w:rsid w:val="2CEA0EC6"/>
    <w:rsid w:val="2D690864"/>
    <w:rsid w:val="2F983C57"/>
    <w:rsid w:val="2F9D3E96"/>
    <w:rsid w:val="2FE532A2"/>
    <w:rsid w:val="2FE66C7A"/>
    <w:rsid w:val="30AB2B0B"/>
    <w:rsid w:val="31875768"/>
    <w:rsid w:val="33C519C4"/>
    <w:rsid w:val="34B037C5"/>
    <w:rsid w:val="35564B3A"/>
    <w:rsid w:val="35A30D6C"/>
    <w:rsid w:val="3675499F"/>
    <w:rsid w:val="377607BE"/>
    <w:rsid w:val="378B77A7"/>
    <w:rsid w:val="37D2706E"/>
    <w:rsid w:val="39427B7F"/>
    <w:rsid w:val="39E32F1D"/>
    <w:rsid w:val="3B5F550F"/>
    <w:rsid w:val="3B9B0529"/>
    <w:rsid w:val="3BC614B8"/>
    <w:rsid w:val="3C411494"/>
    <w:rsid w:val="3CC37A34"/>
    <w:rsid w:val="3CF64814"/>
    <w:rsid w:val="3DC45E2A"/>
    <w:rsid w:val="3E1263ED"/>
    <w:rsid w:val="3EA155BA"/>
    <w:rsid w:val="3F016C56"/>
    <w:rsid w:val="40117970"/>
    <w:rsid w:val="401A2104"/>
    <w:rsid w:val="40821880"/>
    <w:rsid w:val="40EA4C14"/>
    <w:rsid w:val="43DC799D"/>
    <w:rsid w:val="453B49A6"/>
    <w:rsid w:val="45690D3E"/>
    <w:rsid w:val="467342CA"/>
    <w:rsid w:val="471F7E19"/>
    <w:rsid w:val="491A121A"/>
    <w:rsid w:val="491B45E8"/>
    <w:rsid w:val="4A1C7C09"/>
    <w:rsid w:val="4BC6070D"/>
    <w:rsid w:val="4BD74237"/>
    <w:rsid w:val="4BF84437"/>
    <w:rsid w:val="4C0673AC"/>
    <w:rsid w:val="4D617927"/>
    <w:rsid w:val="4E2942F0"/>
    <w:rsid w:val="4E473EAD"/>
    <w:rsid w:val="4F7D40A2"/>
    <w:rsid w:val="4FD67431"/>
    <w:rsid w:val="4FDF15FB"/>
    <w:rsid w:val="51023194"/>
    <w:rsid w:val="511F557D"/>
    <w:rsid w:val="51514452"/>
    <w:rsid w:val="517E2761"/>
    <w:rsid w:val="51D97AD7"/>
    <w:rsid w:val="52CC507D"/>
    <w:rsid w:val="53FE0BEB"/>
    <w:rsid w:val="5452501A"/>
    <w:rsid w:val="54B17D77"/>
    <w:rsid w:val="55891282"/>
    <w:rsid w:val="56920F39"/>
    <w:rsid w:val="58175DAE"/>
    <w:rsid w:val="59A930BA"/>
    <w:rsid w:val="5AEC4BEA"/>
    <w:rsid w:val="5B654E34"/>
    <w:rsid w:val="5C8436F8"/>
    <w:rsid w:val="5DC80D27"/>
    <w:rsid w:val="5E2D166D"/>
    <w:rsid w:val="603F1685"/>
    <w:rsid w:val="657519F5"/>
    <w:rsid w:val="658652D8"/>
    <w:rsid w:val="67B31944"/>
    <w:rsid w:val="6A0B0B6A"/>
    <w:rsid w:val="6A3F1CF2"/>
    <w:rsid w:val="6AA52A23"/>
    <w:rsid w:val="6AAE76A5"/>
    <w:rsid w:val="6B793615"/>
    <w:rsid w:val="6BA37D81"/>
    <w:rsid w:val="6CC91855"/>
    <w:rsid w:val="6CDF5536"/>
    <w:rsid w:val="6CE71C24"/>
    <w:rsid w:val="6E3774A2"/>
    <w:rsid w:val="6F7D1C9C"/>
    <w:rsid w:val="6FB33EDE"/>
    <w:rsid w:val="70757D2E"/>
    <w:rsid w:val="71C12EF5"/>
    <w:rsid w:val="725D4F6C"/>
    <w:rsid w:val="72F1205C"/>
    <w:rsid w:val="733B2128"/>
    <w:rsid w:val="73616A2B"/>
    <w:rsid w:val="745A6AD6"/>
    <w:rsid w:val="75202AA0"/>
    <w:rsid w:val="752D3170"/>
    <w:rsid w:val="75886C5B"/>
    <w:rsid w:val="776127F2"/>
    <w:rsid w:val="78211AD9"/>
    <w:rsid w:val="7BFB0F25"/>
    <w:rsid w:val="7CCF6066"/>
    <w:rsid w:val="7EC87972"/>
    <w:rsid w:val="7EE1147F"/>
    <w:rsid w:val="7EEA2916"/>
    <w:rsid w:val="7F52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1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