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民丰县供销社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民丰县供销社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  略</w:t>
      </w:r>
    </w:p>
    <w:p>
      <w:pPr>
        <w:widowControl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132.50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132.50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132.5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132.50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132.50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400"/>
        <w:gridCol w:w="534"/>
        <w:gridCol w:w="1833"/>
        <w:gridCol w:w="876"/>
        <w:gridCol w:w="774"/>
        <w:gridCol w:w="586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216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highlight w:val="none"/>
              </w:rPr>
              <w:t>商业服务业等支出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115.4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115.4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02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商业流通事务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事业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运行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行政事业单位养老支出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132.50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highlight w:val="none"/>
                <w:lang w:val="en-US" w:eastAsia="zh-CN"/>
              </w:rPr>
              <w:t>132.50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83"/>
        <w:gridCol w:w="783"/>
        <w:gridCol w:w="2867"/>
        <w:gridCol w:w="1200"/>
        <w:gridCol w:w="1650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8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8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216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商业服务业等支出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商业流通事务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运行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 xml:space="preserve">  社会保障和就业支出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 xml:space="preserve">  行政事业单位养老支出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机关事业单位基本养老保险缴费支出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132.50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132.50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132.50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132.50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132.50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132.50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132.50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1024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697"/>
        <w:gridCol w:w="3684"/>
        <w:gridCol w:w="236"/>
        <w:gridCol w:w="980"/>
        <w:gridCol w:w="260"/>
        <w:gridCol w:w="1007"/>
        <w:gridCol w:w="1290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民丰县供销社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05" w:hRule="atLeast"/>
        </w:trPr>
        <w:tc>
          <w:tcPr>
            <w:tcW w:w="5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65" w:hRule="atLeast"/>
        </w:trPr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216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商业服务业等支出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商业流通事务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>事业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运行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115.40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  <w:t xml:space="preserve"> 社会保障和就业支出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行政事业单位养老支出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 xml:space="preserve"> 机关事业单位基本养老保险缴费支出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17.10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0" w:type="dxa"/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132.50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132.50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民丰县供销社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50.3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50.3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37.08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37.08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2.28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17.10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8.30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8.30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7.30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差旅费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4.80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4.80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132.50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125.96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6.54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56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67"/>
        <w:gridCol w:w="375"/>
        <w:gridCol w:w="375"/>
        <w:gridCol w:w="1"/>
        <w:gridCol w:w="804"/>
        <w:gridCol w:w="1"/>
        <w:gridCol w:w="1376"/>
        <w:gridCol w:w="1"/>
        <w:gridCol w:w="708"/>
        <w:gridCol w:w="1"/>
        <w:gridCol w:w="104"/>
        <w:gridCol w:w="433"/>
        <w:gridCol w:w="1"/>
        <w:gridCol w:w="506"/>
        <w:gridCol w:w="1"/>
        <w:gridCol w:w="615"/>
        <w:gridCol w:w="1"/>
        <w:gridCol w:w="615"/>
        <w:gridCol w:w="1"/>
        <w:gridCol w:w="358"/>
        <w:gridCol w:w="188"/>
        <w:gridCol w:w="1"/>
        <w:gridCol w:w="395"/>
        <w:gridCol w:w="1"/>
        <w:gridCol w:w="546"/>
        <w:gridCol w:w="1"/>
        <w:gridCol w:w="396"/>
        <w:gridCol w:w="1"/>
        <w:gridCol w:w="396"/>
        <w:gridCol w:w="1"/>
        <w:gridCol w:w="368"/>
        <w:gridCol w:w="74"/>
        <w:gridCol w:w="1"/>
        <w:gridCol w:w="360"/>
        <w:gridCol w:w="74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" w:type="dxa"/>
          <w:wAfter w:w="75" w:type="dxa"/>
          <w:trHeight w:val="375" w:hRule="atLeast"/>
        </w:trPr>
        <w:tc>
          <w:tcPr>
            <w:tcW w:w="893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8" w:type="dxa"/>
          <w:wAfter w:w="75" w:type="dxa"/>
          <w:trHeight w:val="405" w:hRule="atLeast"/>
        </w:trPr>
        <w:tc>
          <w:tcPr>
            <w:tcW w:w="41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民丰县供销社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2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6" w:type="dxa"/>
            <w:gridSpan w:val="5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05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38" w:type="dxa"/>
            <w:gridSpan w:val="3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0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47" w:type="dxa"/>
            <w:gridSpan w:val="3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4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43" w:type="dxa"/>
            <w:gridSpan w:val="3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435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67" w:hRule="atLeast"/>
        </w:trPr>
        <w:tc>
          <w:tcPr>
            <w:tcW w:w="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7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43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5" w:hRule="atLeast"/>
        </w:trPr>
        <w:tc>
          <w:tcPr>
            <w:tcW w:w="37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7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05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38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1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4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43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gridSpan w:val="3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无项目预算支出。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民丰县供销社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民丰县供销社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民丰县供销社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商业服务业等支出。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二、关于民丰县供销社 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民丰县供销社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 100 %，比上年增加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职工职务变动涨工资，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严格控制车辆使用，严格控制出差人员次数。           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没有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三、关于民丰县供销社 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民丰县供销社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 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职工职务变动涨工资；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严格控制车辆使用，严格控制出差人员次数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未安排项目预算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关于民丰县供销社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  <w:highlight w:val="none"/>
        </w:rPr>
        <w:t>年财政拨款收支预算情况的总体说明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1280" w:firstLineChars="400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算拨款，无政府性基金预算拨款。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638" w:leftChars="304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支出预算包括：社会保障和就业支出17.10万元，主要用于基本养老保险支出；商业服务业支出115.40万元。主要用于职工工资，社保，商品服务支出，对个人家庭补助等支出。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五、关于民丰县供销社 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60" w:lineRule="exact"/>
        <w:ind w:firstLine="472" w:firstLineChars="147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民丰县供销社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职工职务变动涨工资；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严格控制车辆使用，严格控制出差人员次数。     </w:t>
      </w:r>
    </w:p>
    <w:p>
      <w:pPr>
        <w:widowControl/>
        <w:spacing w:line="560" w:lineRule="exact"/>
        <w:ind w:firstLine="472" w:firstLineChars="147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50" w:lineRule="exact"/>
        <w:ind w:firstLine="627" w:firstLineChars="19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商业服务也等支出216（类）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50" w:lineRule="exact"/>
        <w:ind w:firstLine="627" w:firstLineChars="196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2.社会保障和就业支出208（类）17.10万元，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widowControl/>
        <w:spacing w:line="560" w:lineRule="exact"/>
        <w:ind w:firstLine="472" w:firstLineChars="147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216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0250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商业服务也等支出（类）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商业流通事务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115.40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涨工资，社保基数也涨了；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严格控制车辆使用，严格控制出差人员次数。</w:t>
      </w:r>
    </w:p>
    <w:p>
      <w:pPr>
        <w:widowControl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行政事业单位养老支出（款）机关事业单位基本养老保险缴费支出（项）17.10万元，比上年执行数增加0.92%，主要原因是:职工职务变动，社保基数也涨了。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六、 民丰县供销社 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年一般公共预算基本支出情况说明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民丰县供销社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132.50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125.96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伙食补助费、绩效工资、机关事业单位基本养老保险缴费、职业年金缴费、职工基本医疗保险缴费、其他社会保障缴费、住房公积金、退休费、其他对个人和家庭的补助等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万元，主要包括：办公费、印刷费、水费、电费、邮电费、取暖费、差旅费、工会经费、福利费、公务用车运行维护费等。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关于供销社 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本年没有项目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60" w:lineRule="exact"/>
        <w:ind w:firstLine="630" w:firstLineChars="196"/>
        <w:jc w:val="left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 xml:space="preserve">八、关于民丰县供销社 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eastAsia="zh-CN"/>
        </w:rPr>
        <w:t>2020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供销社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万元，其中：因公出国（境）费  0 万元，公务用车购置  0万元，公务用车运行费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 0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；公务用车购置费为0，未安排预算；公务用车运行费增加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我单位只有一辆车，与上年没有变动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。</w:t>
      </w:r>
    </w:p>
    <w:p>
      <w:pPr>
        <w:widowControl/>
        <w:spacing w:line="560" w:lineRule="exact"/>
        <w:ind w:firstLine="630" w:firstLineChars="196"/>
        <w:jc w:val="left"/>
        <w:rPr>
          <w:rFonts w:ascii="黑体" w:hAnsi="宋体" w:eastAsia="黑体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 xml:space="preserve">九、关于民丰县供销社 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eastAsia="zh-CN"/>
        </w:rPr>
        <w:t>2020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年政府性基金预算拨款情况说明</w:t>
      </w:r>
    </w:p>
    <w:p>
      <w:pPr>
        <w:widowControl/>
        <w:spacing w:line="560" w:lineRule="exact"/>
        <w:ind w:firstLine="480" w:firstLineChars="1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民丰县供销社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</w:t>
      </w:r>
      <w:r>
        <w:rPr>
          <w:rFonts w:hint="eastAsia" w:ascii="黑体" w:hAnsi="宋体" w:eastAsia="黑体" w:cs="宋体"/>
          <w:kern w:val="0"/>
          <w:sz w:val="32"/>
          <w:szCs w:val="32"/>
        </w:rPr>
        <w:t>机关运行经费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年，民丰县供销社本级及下属0家行政单位和 0家事业单位的机关运行经费财政拨款预算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万元，比上年预算减少0 万元，下降0 %。主要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原因没有变动。</w:t>
      </w: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 民丰县供销社 及下属单位政府采购预算  0 万元，其中：政府采购货物预算  0 万元，政府采购工程预算 0万元，政府采购服务预算    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eastAsia="zh-CN"/>
        </w:rPr>
        <w:t>2020</w:t>
      </w:r>
      <w:r>
        <w:rPr>
          <w:rFonts w:hint="eastAsia" w:ascii="仿宋_GB2312" w:hAnsi="仿宋_GB2312" w:eastAsia="仿宋_GB2312" w:cs="Times New Roman"/>
          <w:sz w:val="32"/>
          <w:szCs w:val="24"/>
        </w:rPr>
        <w:t>年度本部门面向中小企业预留政府采购项目预算金额  0万元，其中：面向小微企业预留政府采购项目预算金额  0 万元。</w:t>
      </w:r>
    </w:p>
    <w:p>
      <w:pPr>
        <w:widowControl/>
        <w:spacing w:line="560" w:lineRule="exact"/>
        <w:ind w:firstLine="472" w:firstLineChars="147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highlight w:val="none"/>
        </w:rPr>
        <w:t>有资产占用使用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年底，民丰县供销社 及下属各预算单位占用使用国有资产总体情况为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4.其他资产价值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年部门预算未安排购置车辆经费（或安排购置车辆经费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</w:t>
      </w: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32"/>
          <w:cols w:space="720" w:num="1"/>
          <w:docGrid w:type="lines" w:linePitch="312" w:charSpace="0"/>
        </w:sectPr>
      </w:pPr>
    </w:p>
    <w:tbl>
      <w:tblPr>
        <w:tblStyle w:val="7"/>
        <w:tblW w:w="140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8"/>
        <w:gridCol w:w="2105"/>
        <w:gridCol w:w="1763"/>
        <w:gridCol w:w="1874"/>
        <w:gridCol w:w="325"/>
        <w:gridCol w:w="1020"/>
        <w:gridCol w:w="2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0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szCs w:val="24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56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6"/>
                <w:szCs w:val="16"/>
              </w:rPr>
              <w:t>民丰县供销社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4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项目资金（万元）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年度资金总额：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其中：财政拨款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其他资金</w:t>
            </w:r>
          </w:p>
        </w:tc>
        <w:tc>
          <w:tcPr>
            <w:tcW w:w="2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项目总体目标</w:t>
            </w:r>
          </w:p>
        </w:tc>
        <w:tc>
          <w:tcPr>
            <w:tcW w:w="1189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1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项目完成指标</w:t>
            </w:r>
          </w:p>
        </w:tc>
        <w:tc>
          <w:tcPr>
            <w:tcW w:w="1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时效指标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数量指标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质量指标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项目效益指标</w:t>
            </w:r>
          </w:p>
        </w:tc>
        <w:tc>
          <w:tcPr>
            <w:tcW w:w="1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1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18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满意度指标</w:t>
            </w: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8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0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楷体_GB2312" w:hAnsi="宋体" w:eastAsia="楷体_GB2312" w:cs="宋体"/>
          <w:b/>
          <w:bCs w:val="0"/>
          <w:kern w:val="0"/>
          <w:sz w:val="24"/>
          <w:szCs w:val="24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 w:start="32"/>
          <w:cols w:space="0" w:num="1"/>
          <w:rtlGutter w:val="0"/>
          <w:docGrid w:type="lines" w:linePitch="319" w:charSpace="0"/>
        </w:sectPr>
      </w:pPr>
      <w:r>
        <w:rPr>
          <w:rFonts w:hint="eastAsia" w:ascii="楷体_GB2312" w:hAnsi="宋体" w:eastAsia="楷体_GB2312" w:cs="宋体"/>
          <w:b/>
          <w:bCs w:val="0"/>
          <w:kern w:val="0"/>
          <w:sz w:val="24"/>
          <w:szCs w:val="24"/>
          <w:lang w:val="en-US" w:eastAsia="zh-CN"/>
        </w:rPr>
        <w:t>无</w:t>
      </w: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30" w:firstLineChars="196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（一）财政拨款：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指由一般公共预算。</w:t>
      </w:r>
    </w:p>
    <w:p>
      <w:pPr>
        <w:spacing w:line="550" w:lineRule="exact"/>
        <w:ind w:firstLine="630" w:firstLineChars="196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（二）一般公共预算：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包括公共财政拨款（补助）资金。</w:t>
      </w:r>
    </w:p>
    <w:p>
      <w:pPr>
        <w:spacing w:line="550" w:lineRule="exact"/>
        <w:ind w:firstLine="630" w:firstLineChars="196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仿宋_GB2312" w:eastAsia="仿宋_GB2312" w:cs="Times New Roman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）基本支出：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30" w:firstLineChars="196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仿宋_GB2312" w:eastAsia="仿宋_GB2312" w:cs="Times New Roman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）“三公”经费：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民丰县供销社用一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般公共预算财政拨款安排的因公出国（境）费、公务用车购置及运行费和公务接待费。其中，因单位公务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出差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的住宿费、旅费、伙食补助费、杂费、培训费等支出；公务接待费指单位按规定开支的各类公务接待（含外宾接待）支出。</w:t>
      </w:r>
    </w:p>
    <w:p>
      <w:pPr>
        <w:spacing w:line="550" w:lineRule="exact"/>
        <w:ind w:firstLine="630" w:firstLineChars="196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（</w:t>
      </w:r>
      <w:r>
        <w:rPr>
          <w:rFonts w:hint="eastAsia" w:ascii="仿宋_GB2312" w:eastAsia="仿宋_GB2312" w:cs="Times New Roman"/>
          <w:b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）机关运行经费：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指各部门的公用经费，包括办公及印刷费、邮电费、差旅费、会议费、福利费、日常维修费、办公用房水电费、办公用房取暖费、办公用房物业管理费及其他费用。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民丰县供销社</w:t>
      </w:r>
    </w:p>
    <w:p>
      <w:pPr>
        <w:widowControl/>
        <w:spacing w:line="520" w:lineRule="exact"/>
        <w:jc w:val="left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r>
        <w:object>
          <v:shape id="_x0000_i1025" o:spt="75" type="#_x0000_t75" style="height:16.5pt;width:416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7">
            <o:LockedField>false</o:LockedField>
          </o:OLEObject>
        </w:object>
      </w:r>
    </w:p>
    <w:sectPr>
      <w:footerReference r:id="rId5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F6618"/>
    <w:multiLevelType w:val="singleLevel"/>
    <w:tmpl w:val="8B9F661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080742"/>
    <w:multiLevelType w:val="singleLevel"/>
    <w:tmpl w:val="FD08074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2B5144"/>
    <w:rsid w:val="00325B17"/>
    <w:rsid w:val="00FC6ABD"/>
    <w:rsid w:val="01A50B1A"/>
    <w:rsid w:val="03D178EF"/>
    <w:rsid w:val="041C17E4"/>
    <w:rsid w:val="06895083"/>
    <w:rsid w:val="078C4717"/>
    <w:rsid w:val="07926BB2"/>
    <w:rsid w:val="07AA5BB9"/>
    <w:rsid w:val="083F3F26"/>
    <w:rsid w:val="09D318DC"/>
    <w:rsid w:val="0AE8181F"/>
    <w:rsid w:val="0AF11B92"/>
    <w:rsid w:val="0B8F7306"/>
    <w:rsid w:val="0D105C7F"/>
    <w:rsid w:val="0D416E67"/>
    <w:rsid w:val="0D500228"/>
    <w:rsid w:val="0D825987"/>
    <w:rsid w:val="0E515E7E"/>
    <w:rsid w:val="0EF400A7"/>
    <w:rsid w:val="0F4E69A7"/>
    <w:rsid w:val="0F9B2A91"/>
    <w:rsid w:val="10EB7257"/>
    <w:rsid w:val="12495109"/>
    <w:rsid w:val="12507638"/>
    <w:rsid w:val="1390306C"/>
    <w:rsid w:val="15B001B2"/>
    <w:rsid w:val="160F02EA"/>
    <w:rsid w:val="16CC35E5"/>
    <w:rsid w:val="16FB4272"/>
    <w:rsid w:val="180849B2"/>
    <w:rsid w:val="1A3F425B"/>
    <w:rsid w:val="1CFC78F5"/>
    <w:rsid w:val="1E254834"/>
    <w:rsid w:val="23771490"/>
    <w:rsid w:val="24186F65"/>
    <w:rsid w:val="259F40AA"/>
    <w:rsid w:val="27724580"/>
    <w:rsid w:val="27961905"/>
    <w:rsid w:val="28F12859"/>
    <w:rsid w:val="2A6C364D"/>
    <w:rsid w:val="2A6F25F2"/>
    <w:rsid w:val="2CCB2716"/>
    <w:rsid w:val="2E390002"/>
    <w:rsid w:val="2EB640A4"/>
    <w:rsid w:val="2F9D3E96"/>
    <w:rsid w:val="2FE532A2"/>
    <w:rsid w:val="31B64C88"/>
    <w:rsid w:val="31F85585"/>
    <w:rsid w:val="33A33120"/>
    <w:rsid w:val="34AC6C2A"/>
    <w:rsid w:val="34B037C5"/>
    <w:rsid w:val="35DF79C4"/>
    <w:rsid w:val="378F3B7E"/>
    <w:rsid w:val="39A62A33"/>
    <w:rsid w:val="3AE47CC1"/>
    <w:rsid w:val="3D5341B8"/>
    <w:rsid w:val="3E1E49E1"/>
    <w:rsid w:val="3E3A22FD"/>
    <w:rsid w:val="3E9363B4"/>
    <w:rsid w:val="3ECA02C8"/>
    <w:rsid w:val="3F8B5F52"/>
    <w:rsid w:val="3FE41FCC"/>
    <w:rsid w:val="4066723D"/>
    <w:rsid w:val="40821880"/>
    <w:rsid w:val="414105A1"/>
    <w:rsid w:val="416A28BB"/>
    <w:rsid w:val="41BA14EF"/>
    <w:rsid w:val="41F667A9"/>
    <w:rsid w:val="422B7CB6"/>
    <w:rsid w:val="45CC23A4"/>
    <w:rsid w:val="4725287B"/>
    <w:rsid w:val="47AD4C08"/>
    <w:rsid w:val="47B9110C"/>
    <w:rsid w:val="4932289D"/>
    <w:rsid w:val="495C25F2"/>
    <w:rsid w:val="499B5CE8"/>
    <w:rsid w:val="49D36CB3"/>
    <w:rsid w:val="4C0673AC"/>
    <w:rsid w:val="4E776F50"/>
    <w:rsid w:val="4E8C2642"/>
    <w:rsid w:val="4F2D1AFA"/>
    <w:rsid w:val="4F5B6949"/>
    <w:rsid w:val="4FBF517F"/>
    <w:rsid w:val="51CF08E5"/>
    <w:rsid w:val="524F0188"/>
    <w:rsid w:val="55790090"/>
    <w:rsid w:val="56920F39"/>
    <w:rsid w:val="58175DAE"/>
    <w:rsid w:val="58E748E4"/>
    <w:rsid w:val="5A2764A1"/>
    <w:rsid w:val="621C6C4B"/>
    <w:rsid w:val="65355403"/>
    <w:rsid w:val="66D40960"/>
    <w:rsid w:val="696D1DD8"/>
    <w:rsid w:val="6A6F63FF"/>
    <w:rsid w:val="6B793615"/>
    <w:rsid w:val="6B7D199E"/>
    <w:rsid w:val="6CC91855"/>
    <w:rsid w:val="7148569A"/>
    <w:rsid w:val="73894D05"/>
    <w:rsid w:val="751678A2"/>
    <w:rsid w:val="75F13B13"/>
    <w:rsid w:val="760B1198"/>
    <w:rsid w:val="79FA2C3F"/>
    <w:rsid w:val="7BFB0F25"/>
    <w:rsid w:val="7CFD3C45"/>
    <w:rsid w:val="7DDF661B"/>
    <w:rsid w:val="7E4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2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2020-06-24T09:45:12Z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