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民丰县扶贫开发办公室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2020年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部门预算公开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rPr>
          <w:rFonts w:hint="default"/>
        </w:rPr>
      </w:pPr>
    </w:p>
    <w:p>
      <w:pPr>
        <w:widowControl/>
        <w:spacing w:before="100" w:beforeAutospacing="1" w:after="100" w:afterAutospacing="1"/>
        <w:jc w:val="both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</w:p>
    <w:p>
      <w:pPr>
        <w:widowControl/>
        <w:spacing w:line="500" w:lineRule="exact"/>
        <w:jc w:val="center"/>
        <w:outlineLvl w:val="1"/>
        <w:rPr>
          <w:rFonts w:hint="default" w:ascii="Times New Roman" w:hAnsi="Times New Roman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2"/>
        </w:rPr>
        <w:t>目 录</w:t>
      </w:r>
    </w:p>
    <w:p>
      <w:pPr>
        <w:widowControl/>
        <w:spacing w:line="46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 xml:space="preserve">第一部分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单位概况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一、主要职能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二、机构设置及人员情况</w:t>
      </w:r>
    </w:p>
    <w:p>
      <w:pPr>
        <w:widowControl/>
        <w:spacing w:line="46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 xml:space="preserve">第二部分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年部门预算公开表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一、部门收支总体情况表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二、部门收入总体情况表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三、部门支出总体情况表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四、财政拨款收支总体情况表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五、一般公共预算支出情况表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六、一般公共预算基本支出情况表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八、一般公共预算“三公”经费支出情况表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九、政府性基金预算支出情况表</w:t>
      </w:r>
    </w:p>
    <w:p>
      <w:pPr>
        <w:widowControl/>
        <w:spacing w:line="46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 xml:space="preserve">第三部分  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年部门预算情况说明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年收入预算情况说明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年支出预算情况说明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四、关于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年财政拨款收支预算情况的总体说明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年一般公共预算当年拨款情况说明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六、关于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年一般公共预算基本支出情况说明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七、关于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年项目支出情况说明</w:t>
      </w:r>
    </w:p>
    <w:p>
      <w:pPr>
        <w:widowControl/>
        <w:spacing w:line="460" w:lineRule="exact"/>
        <w:ind w:left="1278" w:leftChars="304" w:hanging="640" w:hanging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八、关于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年一般公共预算“三公”经费预算情况说明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九、关于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年政府性基金预算拨款情况说明</w:t>
      </w:r>
    </w:p>
    <w:p>
      <w:pPr>
        <w:widowControl/>
        <w:spacing w:line="460" w:lineRule="exact"/>
        <w:ind w:firstLine="640" w:firstLineChars="200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十、其他重要事项的情况说明</w:t>
      </w:r>
    </w:p>
    <w:p>
      <w:pPr>
        <w:widowControl/>
        <w:spacing w:line="460" w:lineRule="exact"/>
        <w:ind w:firstLine="643" w:firstLineChars="20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第四部分  名词解释</w:t>
      </w: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rPr>
          <w:rFonts w:hint="default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第一部分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单位概况</w:t>
      </w:r>
    </w:p>
    <w:p>
      <w:pPr>
        <w:widowControl/>
        <w:jc w:val="center"/>
        <w:outlineLvl w:val="1"/>
        <w:rPr>
          <w:rFonts w:hint="default" w:ascii="Times New Roman" w:hAnsi="Times New Roman" w:cs="Times New Roman"/>
          <w:b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　 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一、主要职能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 xml:space="preserve"> </w:t>
      </w:r>
      <w:r>
        <w:rPr>
          <w:rFonts w:hint="eastAsia" w:eastAsia="黑体" w:cs="Times New Roman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　  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二、机构设置及人员情况</w:t>
      </w:r>
    </w:p>
    <w:p>
      <w:pPr>
        <w:widowControl/>
        <w:spacing w:line="560" w:lineRule="exact"/>
        <w:ind w:firstLine="960" w:firstLineChars="300"/>
        <w:jc w:val="left"/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略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第二部分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年部门预算公开表</w:t>
      </w:r>
    </w:p>
    <w:p>
      <w:pPr>
        <w:widowControl/>
        <w:spacing w:before="120" w:beforeLines="5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表一：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部门收支总体情况表</w:t>
      </w:r>
    </w:p>
    <w:p>
      <w:pPr>
        <w:widowControl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编制部门：</w:t>
      </w:r>
      <w:r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                    单位：万元</w:t>
      </w:r>
    </w:p>
    <w:tbl>
      <w:tblPr>
        <w:tblStyle w:val="8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988"/>
        <w:gridCol w:w="269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收     入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支     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项     目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   一般公共预算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    政府性基金预算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203 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教育收费（财政专户）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事业单位经营收入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其他收入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32.82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268.72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小         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单位上年结余（不包括国库集中支付额度结余）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2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支  出  合  计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表二：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部门收入总体情况表</w:t>
      </w:r>
    </w:p>
    <w:p>
      <w:pPr>
        <w:widowControl/>
        <w:jc w:val="both"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填报部门：民丰县扶贫开发办公室                  单位：万元</w:t>
      </w:r>
    </w:p>
    <w:tbl>
      <w:tblPr>
        <w:tblStyle w:val="8"/>
        <w:tblW w:w="9654" w:type="dxa"/>
        <w:tblInd w:w="-4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444"/>
        <w:gridCol w:w="408"/>
        <w:gridCol w:w="2043"/>
        <w:gridCol w:w="813"/>
        <w:gridCol w:w="852"/>
        <w:gridCol w:w="672"/>
        <w:gridCol w:w="624"/>
        <w:gridCol w:w="579"/>
        <w:gridCol w:w="680"/>
        <w:gridCol w:w="680"/>
        <w:gridCol w:w="680"/>
        <w:gridCol w:w="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功能分类科目编码</w:t>
            </w:r>
          </w:p>
        </w:tc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功能分类科目名称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一般公共预算拨款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政府性基金预算拨款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财政专户管理资金</w:t>
            </w:r>
          </w:p>
        </w:tc>
        <w:tc>
          <w:tcPr>
            <w:tcW w:w="5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事业收入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事业单位经营收入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其他收入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用事业基金弥补收支差额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18"/>
                <w:szCs w:val="18"/>
              </w:rPr>
              <w:t>单位上年结余（不包括国库集中支付额度结余）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类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款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0"/>
                <w:szCs w:val="20"/>
              </w:rPr>
              <w:t>项</w:t>
            </w:r>
          </w:p>
        </w:tc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农林水支出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扶贫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 xml:space="preserve"> 行政运行（扶贫）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4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301.54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301.54　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表三：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部门支出总体情况表</w:t>
      </w: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编制部门：民丰县扶贫开发办公室                              单位：万元</w:t>
      </w:r>
    </w:p>
    <w:tbl>
      <w:tblPr>
        <w:tblStyle w:val="8"/>
        <w:tblW w:w="9420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432"/>
        <w:gridCol w:w="480"/>
        <w:gridCol w:w="2314"/>
        <w:gridCol w:w="1855"/>
        <w:gridCol w:w="1856"/>
        <w:gridCol w:w="1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8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56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3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8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8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9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类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款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项</w:t>
            </w:r>
          </w:p>
        </w:tc>
        <w:tc>
          <w:tcPr>
            <w:tcW w:w="23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农林水支出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218.72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val="en-US" w:eastAsia="zh-CN"/>
              </w:rPr>
              <w:t>213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扶贫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218.72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行政运行（扶贫）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218.72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301.54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251.54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</w:tr>
    </w:tbl>
    <w:p>
      <w:pPr>
        <w:widowControl/>
        <w:spacing w:before="120" w:beforeLines="50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表四：</w:t>
      </w:r>
    </w:p>
    <w:p>
      <w:pPr>
        <w:widowControl/>
        <w:spacing w:before="120" w:beforeLines="50"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财政拨款收支预算总体情况表</w:t>
      </w:r>
    </w:p>
    <w:p>
      <w:pPr>
        <w:widowControl/>
        <w:spacing w:before="120" w:beforeLines="50"/>
        <w:outlineLvl w:val="1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编制部门：</w:t>
      </w:r>
      <w:r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单位：万元</w:t>
      </w:r>
    </w:p>
    <w:tbl>
      <w:tblPr>
        <w:tblStyle w:val="8"/>
        <w:tblW w:w="9449" w:type="dxa"/>
        <w:tblInd w:w="-2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580"/>
        <w:gridCol w:w="1418"/>
        <w:gridCol w:w="1275"/>
        <w:gridCol w:w="13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财政拨款收入</w:t>
            </w:r>
          </w:p>
        </w:tc>
        <w:tc>
          <w:tcPr>
            <w:tcW w:w="65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</w:rPr>
              <w:t>财政拨款支出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功  能  分  类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0"/>
                <w:szCs w:val="20"/>
              </w:rPr>
              <w:t>政府性基金预算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301.54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301.54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  <w:t xml:space="preserve"> 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 xml:space="preserve">203 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207 文化旅游体育与传媒支出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32.82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32.82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210卫生健康支出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268.72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268.72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215 资源勘探工业信息等支出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220 自然资源海洋气象等支出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222 粮油物资储备支出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224灾害防治及应急管理支出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5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230转移性支出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233 债务发行费用支出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301.54　</w:t>
            </w:r>
          </w:p>
        </w:tc>
        <w:tc>
          <w:tcPr>
            <w:tcW w:w="2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支  出  总  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301.54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表五：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92"/>
        <w:gridCol w:w="417"/>
        <w:gridCol w:w="2510"/>
        <w:gridCol w:w="660"/>
        <w:gridCol w:w="1024"/>
        <w:gridCol w:w="216"/>
        <w:gridCol w:w="162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2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一般公共预算支出情况表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编制部门：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民丰县扶贫开发办公室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</w:t>
            </w:r>
          </w:p>
        </w:tc>
        <w:tc>
          <w:tcPr>
            <w:tcW w:w="33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一般公共预算支出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功能分类科目名称</w:t>
            </w:r>
          </w:p>
        </w:tc>
        <w:tc>
          <w:tcPr>
            <w:tcW w:w="168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社会保障和就业支出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行政事业单位养老支出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208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机关事业单位基本养老保险缴费支出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32.82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农林水支出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扶贫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行政运行（扶贫）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268.72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218.72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50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301.54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251.54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表六：</w:t>
      </w:r>
    </w:p>
    <w:tbl>
      <w:tblPr>
        <w:tblStyle w:val="8"/>
        <w:tblW w:w="9328" w:type="dxa"/>
        <w:tblInd w:w="-1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77"/>
        <w:gridCol w:w="2891"/>
        <w:gridCol w:w="995"/>
        <w:gridCol w:w="706"/>
        <w:gridCol w:w="976"/>
        <w:gridCol w:w="72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3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编制部门：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民丰县扶贫开发办公室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</w:t>
            </w:r>
          </w:p>
        </w:tc>
        <w:tc>
          <w:tcPr>
            <w:tcW w:w="2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一般公共预算基本支出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经济分类科目编码</w:t>
            </w:r>
          </w:p>
        </w:tc>
        <w:tc>
          <w:tcPr>
            <w:tcW w:w="28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经济分类科目名称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Cs w:val="21"/>
              </w:rPr>
              <w:t>公用经费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  <w:t>款</w:t>
            </w:r>
          </w:p>
        </w:tc>
        <w:tc>
          <w:tcPr>
            <w:tcW w:w="28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工资福利支出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229.71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基本工资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44.60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02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津贴补贴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122.59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122.59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奖金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3.72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04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社会保障缴费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44.73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44.73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住房公积金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14.07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14.07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商品和服务支出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21.83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办公费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水电费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07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邮电费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取暖费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交通费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差旅费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工会经费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29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 福利费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251.54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229.71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/>
              </w:rPr>
              <w:t>21.83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表七：</w:t>
      </w:r>
    </w:p>
    <w:tbl>
      <w:tblPr>
        <w:tblStyle w:val="8"/>
        <w:tblW w:w="9633" w:type="dxa"/>
        <w:tblInd w:w="-4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568"/>
        <w:gridCol w:w="456"/>
        <w:gridCol w:w="432"/>
        <w:gridCol w:w="1284"/>
        <w:gridCol w:w="1392"/>
        <w:gridCol w:w="492"/>
        <w:gridCol w:w="360"/>
        <w:gridCol w:w="454"/>
        <w:gridCol w:w="652"/>
        <w:gridCol w:w="652"/>
        <w:gridCol w:w="378"/>
        <w:gridCol w:w="200"/>
        <w:gridCol w:w="419"/>
        <w:gridCol w:w="578"/>
        <w:gridCol w:w="420"/>
        <w:gridCol w:w="420"/>
        <w:gridCol w:w="389"/>
        <w:gridCol w:w="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375" w:hRule="atLeast"/>
        </w:trPr>
        <w:tc>
          <w:tcPr>
            <w:tcW w:w="954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项目支出情况表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8" w:type="dxa"/>
          <w:wAfter w:w="79" w:type="dxa"/>
          <w:trHeight w:val="405" w:hRule="atLeast"/>
        </w:trPr>
        <w:tc>
          <w:tcPr>
            <w:tcW w:w="4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编制部门：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民丰县扶贫开发办公室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 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960" w:firstLineChars="4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4" w:type="dxa"/>
            <w:gridSpan w:val="4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科 目 编 码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科目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</w:rPr>
              <w:t>项目名称</w:t>
            </w:r>
          </w:p>
        </w:tc>
        <w:tc>
          <w:tcPr>
            <w:tcW w:w="49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454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19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78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20" w:type="dxa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68" w:type="dxa"/>
            <w:gridSpan w:val="2"/>
            <w:vMerge w:val="restart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其他支出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5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类</w:t>
            </w:r>
          </w:p>
        </w:tc>
        <w:tc>
          <w:tcPr>
            <w:tcW w:w="45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款</w:t>
            </w:r>
          </w:p>
        </w:tc>
        <w:tc>
          <w:tcPr>
            <w:tcW w:w="4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  <w:t>项</w:t>
            </w:r>
          </w:p>
        </w:tc>
        <w:tc>
          <w:tcPr>
            <w:tcW w:w="12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39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57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468" w:type="dxa"/>
            <w:gridSpan w:val="2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农林水支出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脱贫攻坚普查工作经费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213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扶贫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脱贫攻坚普查工作经费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45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05</w:t>
            </w:r>
          </w:p>
        </w:tc>
        <w:tc>
          <w:tcPr>
            <w:tcW w:w="4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行政运行（扶贫）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</w:rPr>
              <w:t>脱贫攻坚普查工作经费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0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　</w:t>
            </w:r>
          </w:p>
        </w:tc>
        <w:tc>
          <w:tcPr>
            <w:tcW w:w="49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76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56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3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284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139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492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360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454" w:type="dxa"/>
            <w:vAlign w:val="center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val="en-US" w:eastAsia="zh-CN"/>
              </w:rPr>
              <w:t>　</w:t>
            </w:r>
          </w:p>
        </w:tc>
        <w:tc>
          <w:tcPr>
            <w:tcW w:w="652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19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578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20" w:type="dxa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  <w:tc>
          <w:tcPr>
            <w:tcW w:w="468" w:type="dxa"/>
            <w:gridSpan w:val="2"/>
            <w:vAlign w:val="top"/>
          </w:tcPr>
          <w:p>
            <w:pPr>
              <w:widowControl/>
              <w:jc w:val="left"/>
              <w:outlineLvl w:val="1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表八：</w:t>
      </w: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一般公共预算“三公”经费支出情况表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编制单位：</w:t>
      </w:r>
      <w:r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                          单位：万元</w:t>
      </w:r>
    </w:p>
    <w:tbl>
      <w:tblPr>
        <w:tblStyle w:val="8"/>
        <w:tblW w:w="9240" w:type="dxa"/>
        <w:tblInd w:w="-1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7"/>
        <w:gridCol w:w="1559"/>
        <w:gridCol w:w="1418"/>
        <w:gridCol w:w="1559"/>
        <w:gridCol w:w="17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表九：</w:t>
      </w:r>
    </w:p>
    <w:p>
      <w:pPr>
        <w:widowControl/>
        <w:jc w:val="center"/>
        <w:outlineLvl w:val="1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政府性基金预算支出情况表</w:t>
      </w:r>
    </w:p>
    <w:p>
      <w:pPr>
        <w:widowControl/>
        <w:outlineLvl w:val="1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编制单位：</w:t>
      </w:r>
      <w:r>
        <w:rPr>
          <w:rFonts w:hint="default" w:ascii="Times New Roman" w:hAnsi="Times New Roman" w:eastAsia="仿宋_GB2312" w:cs="Times New Roman"/>
          <w:kern w:val="0"/>
          <w:sz w:val="24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24"/>
        </w:rPr>
        <w:t xml:space="preserve">                                单位：万元</w:t>
      </w:r>
    </w:p>
    <w:tbl>
      <w:tblPr>
        <w:tblStyle w:val="8"/>
        <w:tblW w:w="9214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457"/>
        <w:gridCol w:w="457"/>
        <w:gridCol w:w="2896"/>
        <w:gridCol w:w="1559"/>
        <w:gridCol w:w="1701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  目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政府性基金预算支出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项</w:t>
            </w:r>
          </w:p>
        </w:tc>
        <w:tc>
          <w:tcPr>
            <w:tcW w:w="28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widowControl/>
        <w:jc w:val="left"/>
        <w:outlineLvl w:val="1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18" w:bottom="1928" w:left="1588" w:header="851" w:footer="992" w:gutter="0"/>
          <w:pgNumType w:fmt="numberInDash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备注：本单位无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  <w:t>政府性基金预算支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eastAsia="zh-CN"/>
        </w:rPr>
        <w:t>出。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第三部分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年部门预算情况说明</w:t>
      </w:r>
    </w:p>
    <w:p>
      <w:pPr>
        <w:widowControl w:val="0"/>
        <w:spacing w:before="0" w:beforeLines="0" w:line="560" w:lineRule="exact"/>
        <w:jc w:val="center"/>
        <w:outlineLvl w:val="9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年收支预算情况的总体说明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按照全口径预算的原则，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年所有收入和支出均纳入部门预算管理。收支总预算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收入预算包括：一般公共预算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支出预算包括：农林水支出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、社会保障和就业支出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32.82万元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二、关于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年收入预算情况说明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收入预算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一般公共预算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%，比上年增加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57.54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政府性基金预算未安排。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单位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年支出预算情况说明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年支出预算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83.42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%，比上年增加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人员增加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16.58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%，比上年增加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四、关于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年财政拨款收支预算情况的总体说明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年财政拨款收支总预算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301.54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-6"/>
          <w:kern w:val="0"/>
          <w:sz w:val="32"/>
          <w:szCs w:val="32"/>
        </w:rPr>
        <w:t>收入全部为一般公共预算拨款，无政府性基金预算拨款。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支出预算包括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农林水支出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268.72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主要用于：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工资福利支出，商品服务支出及对个人的补助支出；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社会保障和就业支出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32.82万元，主要用于：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机关事业单位基本养老保险缴费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五、关于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年一般公共预算当年拨款情况说明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（一）一般公用预算当年拨款规模变化情况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年一般公共预算拨款基本支出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万元，比上年执行数减少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59.29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万元，下降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19.07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%。主要原因是：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减少经费开支。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（二）一般公共预算当年拨款结构情况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1.农林水支出（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268.72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占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89.11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社会保障和就业支出（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32.82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10.8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（三）一般公共预算当年拨款具体使用情况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2130501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农林水支出（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类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）扶贫（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）行政运行（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项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）: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268.72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比上年执行数减少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124.96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万元，下降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31.74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%，主要原因是：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减少经费开支。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kern w:val="0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2080505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社会保障和就业支出（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 行政事业单位养老支出（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款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）机关事业单位基本养老保险缴费支出（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）: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32.82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，比上年执行数增加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16.14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49.18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%，主要原因是：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工资基数调整，人员增加。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六、关于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年一般公共预算基本支出情况说明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年一般公共预算基本支出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251.54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 其中：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人员经费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229.71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万元，主要包括：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基本工资、津贴补贴、奖金、机关事业单位基本养老保险缴费、职工基本医疗保险缴费、公务员医疗补助缴费、其他社会保障缴费、住房公积金等。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公用经费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21.83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  <w:t>万元，主要包括：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办公费、手续费、水费、电费、邮电费、取暖费、差旅费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工会经费、福利费、公务用车运行维护费等。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七、关于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年项目支出情况说明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脱贫攻坚普查工作经费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设立的政策依据：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和脱普组办〔2020〕2号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预算安排规模：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项目承担单位：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民丰县扶贫开发办公室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资金分配情况：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财政拨款50万元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资金执行时间：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2020年8月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八、关于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年一般公共预算“三公”经费预算情况说明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年“三公”经费财政拨款预算数为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万元，其中：因公出国（境）费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万元，公务用车购置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万元，公务用车运行费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万元，公务接待费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年“三公”经费财政拨款预算比上年增加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万元，其中：因公出国（境）费增加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未安排预算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；公务用车购置费为0，主要原因是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未安排预算；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公务用车运行费增加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车辆数无变化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；公务接待费增加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万元，主要原因是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未安排预算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九、关于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年政府性基金预算拨款情况说明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年没有使用政府性基金预算拨款安排的支出，政府性基金预算支出情况表为空表。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十、其他重要事项的情况说明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（一）机关运行经费情况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本级及下属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家行政单位和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家事业单位的机关运行经费财政拨款预算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21.83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万元，比上年预算增加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万元，增长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%。主要原因是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机关运行经费标准和人员与上年一样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及下属单位政府采购预算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万元，其中：政府采购货物预算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万元，政府采购工程预算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万元，政府采购服务预算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</w:rPr>
        <w:t>年度本部门面向中小企业预留政府采购项目预算金额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</w:rPr>
        <w:t>万元，其中：面向小微企业预留政府采购项目预算金额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（三）国有资产占用使用情况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截至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及下属各预算单位占用使用国有资产总体情况为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1.房屋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平方米，价值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2.车辆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万元；其中：一般公务用车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22.6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万元；执法执勤用车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万元；其他车辆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辆，价值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3.办公家具价值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71.35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4.其他资产价值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单位价值50万元以上大型设备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台（套），单位价值100万元以上大型设备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年部门预算未安排购置车辆经费，安排购置50万元以上大型设备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台（套），单位价值100万元以上大型设备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（四）预算绩效情况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年度，本年度实行绩效管理的项目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个，涉及预算金额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万元。具体情况见下表（按项目分别填报）：</w:t>
      </w:r>
    </w:p>
    <w:p>
      <w:pPr>
        <w:widowControl/>
        <w:spacing w:line="60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 w:start="24"/>
          <w:cols w:space="720" w:num="1"/>
          <w:docGrid w:type="lines" w:linePitch="312" w:charSpace="0"/>
        </w:sectPr>
      </w:pPr>
    </w:p>
    <w:tbl>
      <w:tblPr>
        <w:tblStyle w:val="8"/>
        <w:tblW w:w="1397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857"/>
        <w:gridCol w:w="1664"/>
        <w:gridCol w:w="500"/>
        <w:gridCol w:w="1164"/>
        <w:gridCol w:w="323"/>
        <w:gridCol w:w="323"/>
        <w:gridCol w:w="1925"/>
        <w:gridCol w:w="249"/>
        <w:gridCol w:w="1132"/>
        <w:gridCol w:w="2143"/>
        <w:gridCol w:w="249"/>
        <w:gridCol w:w="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397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outlineLvl w:val="1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  目  支  出  绩  效  目  标  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预算单位</w:t>
            </w:r>
          </w:p>
        </w:tc>
        <w:tc>
          <w:tcPr>
            <w:tcW w:w="58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民丰县扶贫开发办公室</w:t>
            </w:r>
          </w:p>
        </w:tc>
        <w:tc>
          <w:tcPr>
            <w:tcW w:w="1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0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脱贫攻坚普查工作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1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项目资金（万元）</w:t>
            </w: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1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13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项目总体目标</w:t>
            </w:r>
          </w:p>
        </w:tc>
        <w:tc>
          <w:tcPr>
            <w:tcW w:w="11778" w:type="dxa"/>
            <w:gridSpan w:val="1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目标1：脱贫攻坚领导小组对民丰县进行1次较全面对脱贫攻坚普查工作。</w:t>
            </w:r>
          </w:p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18"/>
                <w:szCs w:val="18"/>
                <w:lang w:val="en-US" w:eastAsia="zh-CN" w:bidi="ar-SA"/>
              </w:rPr>
              <w:t>目标2：通过此项目对开展，建立以扶贫成效为导向对考核机制，引导各村各单位在精准施策上出实招、在精准推进上下实功、在精准落地上见实效，确保打赢脱贫攻坚战。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18"/>
                <w:szCs w:val="18"/>
              </w:rPr>
              <w:t>指标值（包含数字及文字描述）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项目完成指标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脱贫攻坚普查经费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项目截止时间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2020年8月1日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脱贫攻坚普查次数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脱贫攻坚领导小组人数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　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5人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脱贫攻坚普查覆盖率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建档立卡贫困人口识别率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扶贫人口退出准确率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≥</w:t>
            </w: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项目效益指标</w:t>
            </w: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扶贫机构和队伍建设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显著加强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精准扶贫执行率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显著提高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政策知晓率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显著提高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脱贫攻坚普查数据准确率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85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5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61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377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numberInDash" w:start="32"/>
          <w:cols w:space="720" w:num="1"/>
          <w:docGrid w:type="lines" w:linePitch="312" w:charSpace="0"/>
        </w:sectPr>
      </w:pPr>
    </w:p>
    <w:p>
      <w:pPr>
        <w:widowControl/>
        <w:spacing w:line="520" w:lineRule="exact"/>
        <w:ind w:firstLine="630" w:firstLineChars="196"/>
        <w:jc w:val="left"/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kern w:val="0"/>
          <w:sz w:val="32"/>
          <w:szCs w:val="32"/>
        </w:rPr>
        <w:t>（五）其他需说明的事项</w:t>
      </w:r>
    </w:p>
    <w:p>
      <w:pPr>
        <w:widowControl/>
        <w:spacing w:line="52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无</w:t>
      </w:r>
    </w:p>
    <w:p>
      <w:pPr>
        <w:widowControl/>
        <w:spacing w:before="217" w:beforeLines="50" w:line="520" w:lineRule="exact"/>
        <w:jc w:val="center"/>
        <w:outlineLvl w:val="1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第四部分  名词解释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名词解释：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一、财政拨款：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指由一般公共预算、政府性基金预算安排的财政拨款数。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二、一般公共预算：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包括公共财政拨款（补助）资金、专项收入。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三、基本支出：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包括人员经费、商品和服务支出（定额）。其中，人员经费包括工资福利支出、对个人和家庭的补助。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四、项目支出：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部门支出预算的组成部分，是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为完成其特定的行政任务或事业发展目标，在基本支出预算之外编制的年度项目支出计划。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“三公”经费：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指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民丰县扶贫开发办公室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用一般公共预算财政拨款安排的公务用车运行费。其中，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公务用车运行费指单位公务用车租用费、燃料费、维修费、过路过桥费、保险费支出。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六、机关运行经费：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民丰县扶贫开发办公室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的公用经费，包括办公及印刷费、邮电费、差旅费、会议费、福利费、办公用房水电费、办公用房取暖费、公务用车运行维护费及其他费用。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民丰县扶贫开发办公室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15日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32 -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5144"/>
    <w:rsid w:val="002B5144"/>
    <w:rsid w:val="00325B17"/>
    <w:rsid w:val="00FC6ABD"/>
    <w:rsid w:val="028B12C7"/>
    <w:rsid w:val="043004D2"/>
    <w:rsid w:val="07926BB2"/>
    <w:rsid w:val="081D48B6"/>
    <w:rsid w:val="083F3F26"/>
    <w:rsid w:val="0C452058"/>
    <w:rsid w:val="0DC43D93"/>
    <w:rsid w:val="131C3C3C"/>
    <w:rsid w:val="1390306C"/>
    <w:rsid w:val="14B251CB"/>
    <w:rsid w:val="16CC35E5"/>
    <w:rsid w:val="1A1928E2"/>
    <w:rsid w:val="1F4160D7"/>
    <w:rsid w:val="1F6E14F5"/>
    <w:rsid w:val="210308FD"/>
    <w:rsid w:val="26BE1780"/>
    <w:rsid w:val="28F20A3C"/>
    <w:rsid w:val="2A6F25F2"/>
    <w:rsid w:val="2CCB2716"/>
    <w:rsid w:val="2F9D3E96"/>
    <w:rsid w:val="2FE532A2"/>
    <w:rsid w:val="31BD44D4"/>
    <w:rsid w:val="34A610B8"/>
    <w:rsid w:val="34B037C5"/>
    <w:rsid w:val="3625333D"/>
    <w:rsid w:val="40821880"/>
    <w:rsid w:val="45A32BCF"/>
    <w:rsid w:val="45A53FBC"/>
    <w:rsid w:val="47E647C7"/>
    <w:rsid w:val="4C0673AC"/>
    <w:rsid w:val="4C963D06"/>
    <w:rsid w:val="4D5F40A6"/>
    <w:rsid w:val="4F3D590F"/>
    <w:rsid w:val="56920F39"/>
    <w:rsid w:val="58175DAE"/>
    <w:rsid w:val="602447DD"/>
    <w:rsid w:val="69D34815"/>
    <w:rsid w:val="6A507275"/>
    <w:rsid w:val="6B0D420F"/>
    <w:rsid w:val="6B793615"/>
    <w:rsid w:val="6CC91855"/>
    <w:rsid w:val="71AD626B"/>
    <w:rsid w:val="7A97734C"/>
    <w:rsid w:val="7BFB0F25"/>
    <w:rsid w:val="7FDE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7"/>
    <w:qFormat/>
    <w:uiPriority w:val="0"/>
    <w:pPr>
      <w:pBdr>
        <w:top w:val="single" w:color="auto" w:sz="12" w:space="1"/>
        <w:bottom w:val="single" w:color="auto" w:sz="12" w:space="1"/>
      </w:pBdr>
      <w:spacing w:line="600" w:lineRule="exact"/>
      <w:ind w:left="1280" w:hanging="1280" w:hangingChars="400"/>
    </w:pPr>
    <w:rPr>
      <w:rFonts w:eastAsia="仿宋_GB2312"/>
      <w:sz w:val="32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59"/>
    <w:pPr>
      <w:spacing w:line="240" w:lineRule="auto"/>
      <w:jc w:val="left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4"/>
    <w:qFormat/>
    <w:uiPriority w:val="99"/>
    <w:rPr>
      <w:rFonts w:ascii="Times New Roman" w:hAnsi="Times New Roman" w:eastAsia="黑体" w:cs="Times New Roman"/>
      <w:snapToGrid w:val="0"/>
      <w:kern w:val="0"/>
      <w:sz w:val="18"/>
      <w:szCs w:val="18"/>
    </w:rPr>
  </w:style>
  <w:style w:type="paragraph" w:customStyle="1" w:styleId="14">
    <w:name w:val="f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15">
    <w:name w:val="批注框文本 Char"/>
    <w:basedOn w:val="10"/>
    <w:link w:val="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3 Char"/>
    <w:basedOn w:val="10"/>
    <w:link w:val="6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普通(网站)1"/>
    <w:basedOn w:val="1"/>
    <w:qFormat/>
    <w:uiPriority w:val="0"/>
    <w:rPr>
      <w:rFonts w:ascii="Calibri" w:hAnsi="Calibri" w:cs="黑体"/>
      <w:sz w:val="24"/>
    </w:rPr>
  </w:style>
  <w:style w:type="paragraph" w:customStyle="1" w:styleId="20">
    <w:name w:val="普通(网站)2"/>
    <w:basedOn w:val="1"/>
    <w:qFormat/>
    <w:uiPriority w:val="0"/>
    <w:rPr>
      <w:rFonts w:ascii="Calibri" w:hAnsi="Calibri" w:cs="黑体"/>
      <w:sz w:val="24"/>
    </w:rPr>
  </w:style>
  <w:style w:type="paragraph" w:customStyle="1" w:styleId="21">
    <w:name w:val="普通(网站)3"/>
    <w:basedOn w:val="1"/>
    <w:qFormat/>
    <w:uiPriority w:val="0"/>
    <w:rPr>
      <w:rFonts w:ascii="Calibri" w:hAnsi="Calibri" w:cs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1575</Words>
  <Characters>8978</Characters>
  <Lines>74</Lines>
  <Paragraphs>21</Paragraphs>
  <TotalTime>3</TotalTime>
  <ScaleCrop>false</ScaleCrop>
  <LinksUpToDate>false</LinksUpToDate>
  <CharactersWithSpaces>10532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2019-01-15T10:37:00Z</dcterms:created>
  <dc:creator>王怡</dc:creator>
  <cp:lastModifiedBy>^_^玫瑰人生^_^</cp:lastModifiedBy>
  <dcterms:modified xsi:type="dcterms:W3CDTF">2020-06-24T09:34:12Z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