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方正小标宋_GBK" w:hAnsi="宋体" w:eastAsia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民丰县发展和改革委员会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2020年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br w:type="page"/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960" w:firstLineChars="3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1600" w:firstLineChars="5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略</w:t>
      </w:r>
    </w:p>
    <w:p>
      <w:pPr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br w:type="page"/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民丰县发展和改革委员会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718.15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361.7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718.15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56.45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540" w:firstLineChars="30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小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718.15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80" w:firstLineChars="100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718.15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718.15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both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填报部门：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民丰县发展和改革委员会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单位：万元</w:t>
      </w:r>
    </w:p>
    <w:tbl>
      <w:tblPr>
        <w:tblStyle w:val="7"/>
        <w:tblW w:w="9713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80"/>
        <w:gridCol w:w="449"/>
        <w:gridCol w:w="1932"/>
        <w:gridCol w:w="820"/>
        <w:gridCol w:w="915"/>
        <w:gridCol w:w="445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发展与改革事务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行政运行（发展与改革事务）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行政事业单位养老支出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农林水支出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扶贫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　 其他扶贫支出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718.15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718.15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民丰县发展和改革委员会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517"/>
        <w:gridCol w:w="516"/>
        <w:gridCol w:w="2192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1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一般公共服务支出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361.70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361.70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 发展与改革事务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361.70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361.70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行政运行（发展与改革事务）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361.70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361.70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56.45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56.45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行政事业单位养老支出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56.45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56.45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56.45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56.45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农林水支出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扶贫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99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　其他扶贫支出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718.15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418.15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</w:tr>
    </w:tbl>
    <w:p>
      <w:pPr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br w:type="page"/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民丰县发展和改革委员会</w:t>
      </w:r>
      <w:r>
        <w:rPr>
          <w:rFonts w:hint="eastAsia" w:ascii="仿宋_GB2312" w:hAnsi="宋体" w:eastAsia="仿宋_GB2312"/>
          <w:kern w:val="0"/>
          <w:sz w:val="24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718.15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361.7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361.7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718.15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56.45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56.45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718.15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718.15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718.15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民丰县发展和改革委员会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发展与改革事务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行政运行（发展与改革事务）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扶贫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</w:rPr>
              <w:t>其他扶贫支出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718.15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418.15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民丰县发展和改革委员会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194.80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20.86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水电费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交通费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418.15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397.29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20.86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459"/>
        <w:gridCol w:w="433"/>
        <w:gridCol w:w="433"/>
        <w:gridCol w:w="709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332"/>
        <w:gridCol w:w="665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民丰县发展和改革委员会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3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3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4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3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3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3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宋体" w:hAnsi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民丰县2016年易地扶贫搬迁项目贷款本金　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300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　</w:t>
            </w:r>
          </w:p>
        </w:tc>
        <w:tc>
          <w:tcPr>
            <w:tcW w:w="4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扶贫</w:t>
            </w: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民丰县2016年易地扶贫搬迁项目贷款本金　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300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　</w:t>
            </w:r>
          </w:p>
        </w:tc>
        <w:tc>
          <w:tcPr>
            <w:tcW w:w="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99　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其他扶贫支出</w:t>
            </w: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民丰县2016年易地扶贫搬迁项目贷款本金　　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　</w:t>
            </w:r>
          </w:p>
        </w:tc>
        <w:tc>
          <w:tcPr>
            <w:tcW w:w="3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民丰县发展和改革委员会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备注：本单位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一般公共预算“三公”经费预算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民丰县发展和改革委员会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备注：本单位无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出。</w:t>
      </w:r>
    </w:p>
    <w:p>
      <w:pPr>
        <w:widowControl w:val="0"/>
        <w:spacing w:before="0" w:beforeLines="0" w:line="560" w:lineRule="exact"/>
        <w:jc w:val="center"/>
        <w:outlineLvl w:val="9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widowControl w:val="0"/>
        <w:spacing w:before="0" w:beforeLines="0" w:line="560" w:lineRule="exact"/>
        <w:jc w:val="center"/>
        <w:outlineLvl w:val="9"/>
        <w:rPr>
          <w:rFonts w:ascii="黑体" w:hAnsi="黑体" w:eastAsia="黑体"/>
          <w:kern w:val="0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781.15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718.15万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718.15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180.46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2019年3月发展和改革委员会与统计局合并，人员经费增加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黑体" w:hAnsi="宋体" w:eastAsia="黑体" w:cs="宋体"/>
          <w:kern w:val="0"/>
          <w:sz w:val="32"/>
          <w:szCs w:val="32"/>
        </w:rPr>
        <w:t>单位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718.15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418.15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180.46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2019年3月发展和改革委员会与统计局合并，人员经费增加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是预算项目无增减情况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年财政拨款收支总预算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718.15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16" w:firstLineChars="200"/>
        <w:jc w:val="both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718.15万元，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无政府性基金预算拨款。</w:t>
      </w:r>
    </w:p>
    <w:p>
      <w:pPr>
        <w:widowControl w:val="0"/>
        <w:spacing w:line="560" w:lineRule="exact"/>
        <w:ind w:firstLine="616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361.7万，主要用于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基本工资、津贴补贴、奖金、绩效工资、住房公积金、医疗费、其他工资福利支出、退休费、其他对个人和家庭的补助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办公费、水费、电费、邮电费、取暖费、差旅费、工会经费、福利费、交通费用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等；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56.45万，主要用于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机关事业单位基本养老保险缴费、职业年金缴费、职工基本医疗保险缴费、公务员医疗补助缴费、其他社会保障缴费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300万，主要用于项目支出。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418.15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180.46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2019年3月发展和改革委员会与统计局合并，人员经费增加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361.7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2.社会保障和就业支出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类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80" w:lineRule="exact"/>
        <w:ind w:firstLine="64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3.农林水支出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类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300万，占41.77%。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2010401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一般公共服务（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类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发展与改革事务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款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行政运行（发展与改革事务）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项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361.7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比上年执行数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增加153.77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上浮21.96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2019年3月发展和改革委员会与统计局合并，人员经费增加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2080505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）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行政事业单位养老支出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）机关事业单位基本养老保险缴费支出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项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56.45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26.69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3.72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%，主要原因是：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工资基数调整，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2019年3月发展和改革委员会与统计局合并，经费增加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3.2130509农林水（类）扶贫支出（款）其他扶贫支出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2020年预算数为300万，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预算项目无增减情况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418.15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397.29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绩效工资、机关事业单位基本养老保险缴费、职业年金缴费、职工基本医疗保险缴费、公务员医疗补助缴费、其他社会保障缴费、住房公积金、医疗费、其他工资福利支出、退休费、其他对个人和家庭的补助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万元，主要包括：办公费、水费、电费、邮电费、取暖费、差旅费、工会经费、福利费、交通费用。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 w:val="0"/>
        <w:spacing w:line="560" w:lineRule="exact"/>
        <w:ind w:left="638" w:leftChars="304" w:firstLine="0" w:firstLineChars="0"/>
        <w:jc w:val="both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民丰县2016年易地扶贫搬迁项目贷款本金</w:t>
      </w: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国家发改委关于印发全国“十三五”易地扶贫搬迁规划的通知》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300万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民丰县发展和改革委员会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财政拨款300万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2020年1月-2020年12月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年“三公”经费财政拨款预算数为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公务用车运行费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为0，未安排预算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安排预算。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及下属0家行政单位和0家事业单位，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机关运行经费财政拨款预算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20.86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7.96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1.1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机构合并，人员增加，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机关运行费增加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3" w:firstLineChars="200"/>
        <w:jc w:val="both"/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万元，政府采购工程预算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 w:val="0"/>
        <w:spacing w:line="560" w:lineRule="exact"/>
        <w:ind w:firstLine="643" w:firstLineChars="200"/>
        <w:jc w:val="both"/>
        <w:rPr>
          <w:rFonts w:hint="default" w:ascii="楷体_GB2312" w:hAnsi="宋体" w:eastAsia="楷体_GB2312" w:cs="宋体"/>
          <w:b/>
          <w:kern w:val="0"/>
          <w:sz w:val="32"/>
          <w:szCs w:val="32"/>
          <w:lang w:val="en-US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民丰县发展和改革委员会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2.车辆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万元；其中：一般公务用车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106.70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个，涉及预算金额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民丰县发展和改革委员会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民丰县2016年易地扶贫搬迁工程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目标1：本项目为336户居民新建易地搬迁住房，并修缮配套棚圈、青储窖、道路低压线路和双语幼儿园等。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目标2：通过项目实施，恢复迁出区的生态环境，实现迁入地基础设施的完善，使贫困户生活条件有明显改善，增加贫困群众创业、就业机会，脱贫增收，确保搬得出、稳得住、有事做、能致富，促进民丰县脱贫攻坚任务目标的快速实现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安置补助标准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≤0.9万元/户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项目起止时间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2016年8月5日-11月30日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项目完工及时率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项目验收合格率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集中安置率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安置房建设标准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40-60平方米/人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享受新建住房户数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≥336户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配套棚圈修建座数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≥336座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青储窖修建座数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≥116座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UPVC管道建设长度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≥9.8876公里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道路修建长度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≥6.3582公里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低压线路建设长度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≥6.0345公里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铁艺围栏修建长度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≥2400米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双语幼儿园配套设施修建座数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≥4座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搬迁户收入改善率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房屋使用年限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≥15年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项目受益户数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≥336户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改善移民搬迁地区生态环境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有效改善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搬迁安置受益群众满意度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spacing w:line="520" w:lineRule="exact"/>
        <w:ind w:firstLine="64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p>
      <w:pPr>
        <w:widowControl/>
        <w:spacing w:before="217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民丰县发展和改革委员会</w:t>
      </w:r>
      <w:r>
        <w:rPr>
          <w:rFonts w:hint="eastAsia" w:ascii="仿宋_GB2312" w:eastAsia="仿宋_GB2312"/>
          <w:sz w:val="32"/>
          <w:szCs w:val="32"/>
        </w:rPr>
        <w:t>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民丰县发展和改革委员</w:t>
      </w:r>
      <w:r>
        <w:rPr>
          <w:rFonts w:hint="eastAsia" w:ascii="仿宋_GB2312" w:eastAsia="仿宋_GB2312"/>
          <w:sz w:val="32"/>
          <w:szCs w:val="32"/>
        </w:rPr>
        <w:t>用一般公共预算财政拨款安排的公务用车运行费。其中，公务用运行费指单位公务用车租用费、燃料费、维修费、过路过桥费、保险费、安全奖励费用等支出。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民丰县发展和改革委员会</w:t>
      </w:r>
      <w:r>
        <w:rPr>
          <w:rFonts w:hint="eastAsia" w:ascii="仿宋_GB2312" w:eastAsia="仿宋_GB2312"/>
          <w:sz w:val="32"/>
          <w:szCs w:val="32"/>
        </w:rPr>
        <w:t>的公用经费，包括办公及印刷费、邮电费、差旅费、会议费、福利费、日常维修费、办公用房水电费、办公用房取暖费、办公用房物业管理费、公务用车运行维护费及其他费用。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民丰县发展和改革委员会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2B5144"/>
    <w:rsid w:val="00325B17"/>
    <w:rsid w:val="00FC6ABD"/>
    <w:rsid w:val="020678C7"/>
    <w:rsid w:val="020A7947"/>
    <w:rsid w:val="03E56BBB"/>
    <w:rsid w:val="04117E4F"/>
    <w:rsid w:val="047E0D85"/>
    <w:rsid w:val="05A83A88"/>
    <w:rsid w:val="05F03DFE"/>
    <w:rsid w:val="062A5D1D"/>
    <w:rsid w:val="066F22F0"/>
    <w:rsid w:val="07926BB2"/>
    <w:rsid w:val="083F3F26"/>
    <w:rsid w:val="09771EEE"/>
    <w:rsid w:val="09BE44FD"/>
    <w:rsid w:val="09E5164A"/>
    <w:rsid w:val="0B7030D8"/>
    <w:rsid w:val="0B986A9F"/>
    <w:rsid w:val="0BCE6D7A"/>
    <w:rsid w:val="0EF64D1C"/>
    <w:rsid w:val="10B560AB"/>
    <w:rsid w:val="11EB5DFF"/>
    <w:rsid w:val="138E45C7"/>
    <w:rsid w:val="1390306C"/>
    <w:rsid w:val="14294C8A"/>
    <w:rsid w:val="14905D23"/>
    <w:rsid w:val="149B4376"/>
    <w:rsid w:val="14DD329D"/>
    <w:rsid w:val="16CC35E5"/>
    <w:rsid w:val="176C400B"/>
    <w:rsid w:val="1785327F"/>
    <w:rsid w:val="19AD4A0D"/>
    <w:rsid w:val="1A7E2463"/>
    <w:rsid w:val="1BD96F21"/>
    <w:rsid w:val="1C351AD8"/>
    <w:rsid w:val="1C802A44"/>
    <w:rsid w:val="1C811E9E"/>
    <w:rsid w:val="1D156488"/>
    <w:rsid w:val="1F9162E0"/>
    <w:rsid w:val="1FB27BF0"/>
    <w:rsid w:val="20BC5169"/>
    <w:rsid w:val="21543EE0"/>
    <w:rsid w:val="22311721"/>
    <w:rsid w:val="23C43552"/>
    <w:rsid w:val="23DE6848"/>
    <w:rsid w:val="23DE6A15"/>
    <w:rsid w:val="24164F25"/>
    <w:rsid w:val="24EA0AAB"/>
    <w:rsid w:val="25C449A6"/>
    <w:rsid w:val="26566D36"/>
    <w:rsid w:val="28AE1C02"/>
    <w:rsid w:val="293F2936"/>
    <w:rsid w:val="2A452870"/>
    <w:rsid w:val="2A6F25F2"/>
    <w:rsid w:val="2BF96496"/>
    <w:rsid w:val="2C4A2375"/>
    <w:rsid w:val="2CCB2716"/>
    <w:rsid w:val="2D742E0D"/>
    <w:rsid w:val="2DA827BB"/>
    <w:rsid w:val="2DCC74C4"/>
    <w:rsid w:val="2E3D3F11"/>
    <w:rsid w:val="2EEF4973"/>
    <w:rsid w:val="2F9D3E96"/>
    <w:rsid w:val="2FE532A2"/>
    <w:rsid w:val="2FED3B63"/>
    <w:rsid w:val="34B037C5"/>
    <w:rsid w:val="34D11597"/>
    <w:rsid w:val="355B1EC9"/>
    <w:rsid w:val="358F467F"/>
    <w:rsid w:val="35B41E6C"/>
    <w:rsid w:val="3ACC4B63"/>
    <w:rsid w:val="3AE33A79"/>
    <w:rsid w:val="3CBD49A0"/>
    <w:rsid w:val="3D4A2FDB"/>
    <w:rsid w:val="3D6B40BC"/>
    <w:rsid w:val="3D6C129C"/>
    <w:rsid w:val="3FBE6254"/>
    <w:rsid w:val="3FCA1D6A"/>
    <w:rsid w:val="3FD74560"/>
    <w:rsid w:val="40821880"/>
    <w:rsid w:val="40BE6217"/>
    <w:rsid w:val="40D5667B"/>
    <w:rsid w:val="41D55A01"/>
    <w:rsid w:val="4296078E"/>
    <w:rsid w:val="43176365"/>
    <w:rsid w:val="4599769B"/>
    <w:rsid w:val="45FA34D6"/>
    <w:rsid w:val="46527AC3"/>
    <w:rsid w:val="47A31140"/>
    <w:rsid w:val="47B91334"/>
    <w:rsid w:val="489A2F07"/>
    <w:rsid w:val="48A165AB"/>
    <w:rsid w:val="4A49002E"/>
    <w:rsid w:val="4A763D98"/>
    <w:rsid w:val="4AA52BB8"/>
    <w:rsid w:val="4C0673AC"/>
    <w:rsid w:val="4D5A5E19"/>
    <w:rsid w:val="4DF35F6B"/>
    <w:rsid w:val="4E697F8A"/>
    <w:rsid w:val="50702487"/>
    <w:rsid w:val="510B128F"/>
    <w:rsid w:val="51BA55CE"/>
    <w:rsid w:val="51F044A3"/>
    <w:rsid w:val="56920F39"/>
    <w:rsid w:val="58175DAE"/>
    <w:rsid w:val="59C749D7"/>
    <w:rsid w:val="5CBF1CF1"/>
    <w:rsid w:val="5DC06465"/>
    <w:rsid w:val="5DE07486"/>
    <w:rsid w:val="5DFB4E12"/>
    <w:rsid w:val="5F9E0C64"/>
    <w:rsid w:val="63191554"/>
    <w:rsid w:val="6370089D"/>
    <w:rsid w:val="63CD7488"/>
    <w:rsid w:val="63CF318F"/>
    <w:rsid w:val="6619412C"/>
    <w:rsid w:val="66AB5900"/>
    <w:rsid w:val="67C8695B"/>
    <w:rsid w:val="67D83CDC"/>
    <w:rsid w:val="699D2EEC"/>
    <w:rsid w:val="6A5B3EDD"/>
    <w:rsid w:val="6AA53F79"/>
    <w:rsid w:val="6B475AF6"/>
    <w:rsid w:val="6B793615"/>
    <w:rsid w:val="6C2C1978"/>
    <w:rsid w:val="6C6E1291"/>
    <w:rsid w:val="6CC91855"/>
    <w:rsid w:val="6CE84A81"/>
    <w:rsid w:val="6DDF1CB6"/>
    <w:rsid w:val="6F050199"/>
    <w:rsid w:val="6F914301"/>
    <w:rsid w:val="709E1DF9"/>
    <w:rsid w:val="72F308B8"/>
    <w:rsid w:val="73886964"/>
    <w:rsid w:val="78B52AE3"/>
    <w:rsid w:val="79C24C96"/>
    <w:rsid w:val="7A0F1D36"/>
    <w:rsid w:val="7A2A5C68"/>
    <w:rsid w:val="7B214747"/>
    <w:rsid w:val="7B7660E8"/>
    <w:rsid w:val="7BFB0F25"/>
    <w:rsid w:val="7F74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1575</Words>
  <Characters>8978</Characters>
  <Lines>74</Lines>
  <Paragraphs>21</Paragraphs>
  <TotalTime>9</TotalTime>
  <ScaleCrop>false</ScaleCrop>
  <LinksUpToDate>false</LinksUpToDate>
  <CharactersWithSpaces>10532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2020-06-24T09:32:24Z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