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民丰县财政局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民丰县财政局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仿宋_GB2312" w:hAnsi="宋体" w:eastAsia="黑体" w:cs="宋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1280" w:firstLineChars="4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填报部门：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70"/>
        <w:gridCol w:w="353"/>
        <w:gridCol w:w="2145"/>
        <w:gridCol w:w="820"/>
        <w:gridCol w:w="802"/>
        <w:gridCol w:w="558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一般公用服务支出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0"/>
                <w:tab w:val="right" w:pos="521"/>
              </w:tabs>
              <w:jc w:val="lef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财政事务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 xml:space="preserve"> 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 xml:space="preserve">    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编制部门：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一般公用服务支出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484.65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0"/>
                <w:tab w:val="right" w:pos="521"/>
              </w:tabs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财政事务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484.65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　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484.65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　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 xml:space="preserve">    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542.31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393</w:t>
            </w:r>
          </w:p>
        </w:tc>
      </w:tr>
    </w:tbl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935.31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57.66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57.66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935.31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935.31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935.31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民丰县财政局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一般公用服务支出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484.65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0"/>
                <w:tab w:val="right" w:pos="521"/>
              </w:tabs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财政事务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484.65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　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877.65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484.65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　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 xml:space="preserve"> 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 xml:space="preserve">    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57.66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935.31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393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民丰县财政局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403.26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403.26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highlight w:val="none"/>
                <w:lang w:val="en-US" w:eastAsia="zh-CN"/>
              </w:rPr>
              <w:t>81.07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highlight w:val="none"/>
                <w:lang w:val="en-US" w:eastAsia="zh-CN"/>
              </w:rPr>
              <w:t>81.07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57.66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57.66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职工基本医疗保险缴费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18.34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其他社会保障缴费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　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22.97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22.97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商品和服务支出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127.89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127.89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　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　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　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邮电费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　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10.72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Autospacing="0" w:line="360" w:lineRule="auto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542.31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414.42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127.89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619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46"/>
        <w:gridCol w:w="480"/>
        <w:gridCol w:w="474"/>
        <w:gridCol w:w="1071"/>
        <w:gridCol w:w="1350"/>
        <w:gridCol w:w="429"/>
        <w:gridCol w:w="181"/>
        <w:gridCol w:w="357"/>
        <w:gridCol w:w="536"/>
        <w:gridCol w:w="652"/>
        <w:gridCol w:w="652"/>
        <w:gridCol w:w="299"/>
        <w:gridCol w:w="279"/>
        <w:gridCol w:w="419"/>
        <w:gridCol w:w="578"/>
        <w:gridCol w:w="420"/>
        <w:gridCol w:w="420"/>
        <w:gridCol w:w="310"/>
        <w:gridCol w:w="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5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158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民丰县财政局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8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610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57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7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5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一般公用服务支出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财务软件维护费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财政事务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财务软件维护费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财务软件维护费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一般公用服务支出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绩效管理服务费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财政事务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绩效管理服务费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绩效管理服务费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一般公用服务支出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网络运行维护费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财政事务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网络运行维护费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网络运行维护费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一般公用服务支出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财务人员培训费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财政事务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财务人员培训费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财务人员培训费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一般公用服务支出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预决算工作经费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06　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财政事务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预决算工作经费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01　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预决算工作经费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07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5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7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61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4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07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10" w:type="dxa"/>
            <w:gridSpan w:val="2"/>
            <w:vAlign w:val="center"/>
          </w:tcPr>
          <w:p>
            <w:pPr>
              <w:widowControl/>
              <w:jc w:val="both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393</w:t>
            </w:r>
          </w:p>
        </w:tc>
        <w:tc>
          <w:tcPr>
            <w:tcW w:w="357" w:type="dxa"/>
            <w:vAlign w:val="top"/>
          </w:tcPr>
          <w:p>
            <w:pPr>
              <w:widowControl/>
              <w:jc w:val="both"/>
              <w:outlineLvl w:val="1"/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both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393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 xml:space="preserve">编制单位： 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民丰县财政局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935.31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935.31万元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宋体" w:eastAsia="仿宋_GB2312" w:cs="宋体"/>
          <w:b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877.65万元，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57.66万元 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935.31万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935.31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403.83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本年有新增项目经费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935.31万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542.31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是及经费上调。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389.9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本年有新增项目经费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民丰县财政局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935.31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left="638" w:leftChars="304" w:firstLine="0" w:firstLineChars="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877.65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万元，主要用于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工资福利支出，商品服务支出，对个人和家族的补助支出等；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57.66万元，主要用于机关事业单位养老保险支出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19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年一般公共预算拨款基本支出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542.31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工资基数上调人员支出增加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1.一般公共服务（类）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877.65</w:t>
      </w: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93.8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57.66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  <w:highlight w:val="none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2010601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一般公共服务（类）财政事务（款）行政运行（项）: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877.65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比上年执行数增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553.42万元 ，增长170%，主要原因是年初增加项目预算。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2.2080505社会保障和就业支出（类）行政事业单位养老支出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（项）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57.66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18.44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 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%，主要原因是：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经费增加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542.31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414.42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绩效工资、机关事业单位基本养老保险缴费、职业年金缴费、职工基本医疗保险缴费、公务员医疗补助缴费、其他社会保障缴费、住房公积金、医疗费、其他工资福利支出、退休费、生活补助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127.89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万元，主要包括：办公费、手续费、水费、电费、邮电费、取暖费、差旅费、维修（护）费、公务接待费、劳务费、福利费、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工会经费、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公务用车运行维护费、其他交通费用、其他商品和服务支出等。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eastAsia="zh-CN"/>
        </w:rPr>
        <w:t>民丰县财政局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  <w:highlight w:val="none"/>
        </w:rPr>
        <w:t>年项目支出情况说明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2020年民丰县财务人员培训项目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年初预算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6.5万元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民丰县财政局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6.5万元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2020年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财务软件维护项目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年初预算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6.5万元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民丰县财政局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6.5万元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2020年民丰县第三方预算绩效管理项目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年初预算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300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民丰县财政局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财政拨款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2020年民丰县网络运行维护项目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年初预算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民丰县财政局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70万元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2020年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宋体" w:hAnsi="宋体" w:cs="宋体"/>
          <w:kern w:val="0"/>
          <w:sz w:val="18"/>
          <w:szCs w:val="18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项目</w:t>
      </w:r>
      <w:r>
        <w:rPr>
          <w:rFonts w:ascii="仿宋_GB2312" w:hAnsi="黑体" w:eastAsia="仿宋_GB2312"/>
          <w:sz w:val="32"/>
          <w:szCs w:val="32"/>
          <w:highlight w:val="none"/>
        </w:rPr>
        <w:t>名称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2020年民丰县预决算工作项目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设立的政策依据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年初预算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预算安排规模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项目承担单位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民丰县财政局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资金分配情况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财政拨款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10万元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ascii="仿宋_GB2312" w:hAnsi="黑体" w:eastAsia="仿宋_GB2312"/>
          <w:sz w:val="32"/>
          <w:szCs w:val="32"/>
          <w:highlight w:val="none"/>
        </w:rPr>
        <w:t>资金执行时间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2020年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主要原因是未安排预算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；公务用车购置费为0，未安排预算。[或公务用车购置费增加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]；公务用车运行费增加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今年安排了行政性收费收入返还用于公务用车运行维护费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 xml:space="preserve">未安排预算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本级及下属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家行政单位和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127.89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105.19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463.39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纳入预算管理的行政事业性收费收入安排的拨款增加，上年没有安排纳入行政事业性收费收入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民丰县财政局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1003.5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7"/>
              <w:tblW w:w="13973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5"/>
              <w:gridCol w:w="1857"/>
              <w:gridCol w:w="1664"/>
              <w:gridCol w:w="500"/>
              <w:gridCol w:w="1164"/>
              <w:gridCol w:w="323"/>
              <w:gridCol w:w="323"/>
              <w:gridCol w:w="1925"/>
              <w:gridCol w:w="249"/>
              <w:gridCol w:w="1132"/>
              <w:gridCol w:w="2143"/>
              <w:gridCol w:w="249"/>
              <w:gridCol w:w="24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1397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  <w:t>项  目  支  出  绩  效  目  标  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831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民丰县财政局</w:t>
                  </w:r>
                </w:p>
              </w:tc>
              <w:tc>
                <w:tcPr>
                  <w:tcW w:w="19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4022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2020年民丰县财务人员培训项目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2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216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6.5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6.5</w:t>
                  </w:r>
                </w:p>
              </w:tc>
              <w:tc>
                <w:tcPr>
                  <w:tcW w:w="138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264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778" w:type="dxa"/>
                  <w:gridSpan w:val="1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目标1：对全县65个预算单位的财务人员进行业务培训。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目标2：加快推进政府会计改革，构架规范统一科学的政府会计标准体系，提高政府会计信息质量，确保新旧制度顺利衔接，提升行政事业单位财务和预算管理水平。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一级</w:t>
                  </w: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br w:type="textWrapping"/>
                  </w: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二级指标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三级指标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指标值（包含数字及文字描述）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项目完成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数量指标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培训财务人数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65人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培训次数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2次/年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质量指标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参加培训人员覆盖率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参加培训人员对新旧政府会计制度的掌握度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≥75%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时效指标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培训开始时间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2020年1月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培训开展及时率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成本指标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培训成本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500元/人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项目效益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经济效益指标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提高财政资金管理效率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明显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社会效益指标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财务人员对新旧政府会计认知水平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明显提高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生态效益指标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可持续影响指标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会计改革工作平稳推进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长期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满意度指标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服务对象满意度指标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财务人员满意度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≥85%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1" w:hRule="atLeast"/>
              </w:trPr>
              <w:tc>
                <w:tcPr>
                  <w:tcW w:w="1397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jc w:val="center"/>
                    <w:outlineLvl w:val="1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  <w:t>项  目  支  出  绩  效  目  标  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831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民丰县财政局</w:t>
                  </w:r>
                </w:p>
              </w:tc>
              <w:tc>
                <w:tcPr>
                  <w:tcW w:w="19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4022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财务软件维护项目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2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年度资金总额：</w:t>
                  </w:r>
                </w:p>
              </w:tc>
              <w:tc>
                <w:tcPr>
                  <w:tcW w:w="216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6.5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其中：财政拨款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6.5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  <w:tc>
                <w:tcPr>
                  <w:tcW w:w="138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其他资金</w:t>
                  </w:r>
                </w:p>
              </w:tc>
              <w:tc>
                <w:tcPr>
                  <w:tcW w:w="264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778" w:type="dxa"/>
                  <w:gridSpan w:val="1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　目标1：保证64个预算单位财务软件的持续稳定运行。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目标2：提高财政局整体信息化水平，维护、保障网络和数据的安全，建立业务规范、管理高效、操作简单、信息集成、数据融合的信息化管理机制，从而保证财政局日常工作正常运转。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一级</w:t>
                  </w: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br w:type="textWrapping"/>
                  </w: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二级指标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三级指标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指标值（包含数字及文字描述）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项目完成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数量指标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进行软件维护的预算单位数量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65个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年维护次数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质量指标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软件故障率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≤1%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办公自动化覆盖率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故障排除率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≥90%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时效指标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维护时间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2020年1月-2020年12月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业务处理及时率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成本指标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年度维护成本增长率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≤1%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软件维护费用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3.25万元/次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项目效益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经济效益指标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故障降低率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≤90%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社会效益指标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各科室使用度（%）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=100%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可持续影响指标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维护时间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满意度指标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服务对象满意度指标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用户使用满意度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≥95%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　</w:t>
                  </w:r>
                </w:p>
              </w:tc>
            </w:tr>
          </w:tbl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tbl>
            <w:tblPr>
              <w:tblStyle w:val="7"/>
              <w:tblW w:w="13973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5"/>
              <w:gridCol w:w="1857"/>
              <w:gridCol w:w="1664"/>
              <w:gridCol w:w="500"/>
              <w:gridCol w:w="1164"/>
              <w:gridCol w:w="323"/>
              <w:gridCol w:w="323"/>
              <w:gridCol w:w="1925"/>
              <w:gridCol w:w="249"/>
              <w:gridCol w:w="1132"/>
              <w:gridCol w:w="2143"/>
              <w:gridCol w:w="249"/>
              <w:gridCol w:w="24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3" w:hRule="atLeast"/>
              </w:trPr>
              <w:tc>
                <w:tcPr>
                  <w:tcW w:w="1397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jc w:val="center"/>
                    <w:outlineLvl w:val="1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  <w:t>项  目  支  出  绩  效  目  标  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831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民丰县财政局</w:t>
                  </w:r>
                </w:p>
              </w:tc>
              <w:tc>
                <w:tcPr>
                  <w:tcW w:w="19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4022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2020年民丰县第三方预算绩效管理项目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2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年度资金总额：</w:t>
                  </w:r>
                </w:p>
              </w:tc>
              <w:tc>
                <w:tcPr>
                  <w:tcW w:w="216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其中：财政拨款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300</w:t>
                  </w:r>
                </w:p>
              </w:tc>
              <w:tc>
                <w:tcPr>
                  <w:tcW w:w="138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其他资金</w:t>
                  </w:r>
                </w:p>
              </w:tc>
              <w:tc>
                <w:tcPr>
                  <w:tcW w:w="264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778" w:type="dxa"/>
                  <w:gridSpan w:val="1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 xml:space="preserve">目标1：对民丰县全预算财政资金进行绩效管理，包括预算绩效事前评估、绩效目标管理、绩效目标动态监控、绩效评价及预算绩效相关培训辅导等工作。                                            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目标2：该项工作有利于提高民丰县预算管理水平和政策实施效果，推动财政资金聚力增效，提高公共服务供给质量，增强政府公信力和执行力。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一级</w:t>
                  </w: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br w:type="textWrapping"/>
                  </w: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二级指标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三级指标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指标值（包含数字及文字描述）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项目完成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数量指标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绩效管理单位个数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65个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管理预算资金金额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≥20亿元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举办绩效工作培训次数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≥3次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预算绩效部门和单位个数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≥55个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质量指标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预算资金绩效管理覆盖率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项目验收合格率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动态监控次数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3次/年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时效指标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项目完成及时率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服务及时响应率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成本指标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服务费占预算资金比例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≤0.15%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项目效益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经济效益指标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提高财政资金管理效率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明显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社会效益指标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增强政府公信力及执行率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明显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提升公共服务水平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明显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生态效益指标</w:t>
                  </w: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可持续影响指标</w:t>
                  </w: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规范财政资金预算管理行为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长期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满意度指标</w:t>
                  </w:r>
                </w:p>
              </w:tc>
              <w:tc>
                <w:tcPr>
                  <w:tcW w:w="185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服务对象满意度指标</w:t>
                  </w: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预算单位满意度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≥95%</w:t>
                  </w:r>
                </w:p>
              </w:tc>
            </w:tr>
          </w:tbl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tbl>
            <w:tblPr>
              <w:tblStyle w:val="7"/>
              <w:tblW w:w="13973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5"/>
              <w:gridCol w:w="1857"/>
              <w:gridCol w:w="1664"/>
              <w:gridCol w:w="500"/>
              <w:gridCol w:w="1164"/>
              <w:gridCol w:w="323"/>
              <w:gridCol w:w="323"/>
              <w:gridCol w:w="1925"/>
              <w:gridCol w:w="249"/>
              <w:gridCol w:w="1132"/>
              <w:gridCol w:w="2143"/>
              <w:gridCol w:w="249"/>
              <w:gridCol w:w="24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3" w:hRule="atLeast"/>
              </w:trPr>
              <w:tc>
                <w:tcPr>
                  <w:tcW w:w="1397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jc w:val="center"/>
                    <w:outlineLvl w:val="1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  <w:t>项  目  支  出  绩  效  目  标  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831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民丰县财政局</w:t>
                  </w:r>
                </w:p>
              </w:tc>
              <w:tc>
                <w:tcPr>
                  <w:tcW w:w="19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4022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2020年民丰县网络运行维护项目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2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年度资金总额：</w:t>
                  </w:r>
                </w:p>
              </w:tc>
              <w:tc>
                <w:tcPr>
                  <w:tcW w:w="216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70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其中：财政拨款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70</w:t>
                  </w:r>
                </w:p>
              </w:tc>
              <w:tc>
                <w:tcPr>
                  <w:tcW w:w="138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其他资金</w:t>
                  </w:r>
                </w:p>
              </w:tc>
              <w:tc>
                <w:tcPr>
                  <w:tcW w:w="264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778" w:type="dxa"/>
                  <w:gridSpan w:val="1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目标1：对民丰县财政系统的网络系统和设备进行硬件更新和维护。其中包括一个防火墙，3组UPS电源，1套认证系统服务器，所有网线更新，1套机房监控系统，1台机房专用空调和4台服务器更换。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目标2：通过项目的实施，确保全县65个预算单位财政系统平台正常运行，保障财政工作的安全有效。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一级</w:t>
                  </w: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br w:type="textWrapping"/>
                  </w: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二级指标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三级指标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指标值（包含数字及文字描述）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项目完成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数量指标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财政系统机房建设数量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防火墙购买数量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UPS电源购置数量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3组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认证系统服务器购置数量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机房监控系统购置数量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机房专用空调购置数量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更换服务器数量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4套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质量指标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机房系统验收合格率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后台故障维修合格率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采购设备合格率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时效指标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项目完成及时率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项目开始时间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2020年1月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项目结束时间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2020年12月底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成本指标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防火数墙成本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15万元/套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UPS电源成本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6.67万元/组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认证系统服务器成本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5万元/套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机房监控系统成本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10万元/套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机房专用空调成本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3万元/套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服务器成本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1.25万元/台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项目效益</w:t>
                  </w:r>
                </w:p>
              </w:tc>
              <w:tc>
                <w:tcPr>
                  <w:tcW w:w="185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经济效益指标</w:t>
                  </w: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社会效益指标</w:t>
                  </w: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增强政府公信力及执行率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明显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提升财政服务可靠性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明显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生态效益指标</w:t>
                  </w: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可持续影响指标</w:t>
                  </w: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保障财政工作的安全有效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长期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满意度指标</w:t>
                  </w:r>
                </w:p>
              </w:tc>
              <w:tc>
                <w:tcPr>
                  <w:tcW w:w="185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服务对象满意度指标</w:t>
                  </w: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县级预算单位满意度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95%</w:t>
                  </w:r>
                </w:p>
              </w:tc>
            </w:tr>
          </w:tbl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firstLine="630" w:firstLineChars="196"/>
              <w:jc w:val="left"/>
              <w:rPr>
                <w:rFonts w:ascii="楷体_GB2312" w:hAnsi="宋体" w:eastAsia="楷体_GB2312" w:cs="宋体"/>
                <w:b/>
                <w:kern w:val="0"/>
                <w:sz w:val="32"/>
                <w:szCs w:val="32"/>
              </w:rPr>
            </w:pPr>
          </w:p>
          <w:tbl>
            <w:tblPr>
              <w:tblStyle w:val="7"/>
              <w:tblW w:w="13973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5"/>
              <w:gridCol w:w="1857"/>
              <w:gridCol w:w="1664"/>
              <w:gridCol w:w="500"/>
              <w:gridCol w:w="1164"/>
              <w:gridCol w:w="323"/>
              <w:gridCol w:w="323"/>
              <w:gridCol w:w="1925"/>
              <w:gridCol w:w="249"/>
              <w:gridCol w:w="1132"/>
              <w:gridCol w:w="2143"/>
              <w:gridCol w:w="249"/>
              <w:gridCol w:w="24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1" w:hRule="atLeast"/>
              </w:trPr>
              <w:tc>
                <w:tcPr>
                  <w:tcW w:w="1397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center"/>
                    <w:outlineLvl w:val="1"/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jc w:val="center"/>
                    <w:outlineLvl w:val="1"/>
                    <w:rPr>
                      <w:rFonts w:ascii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b/>
                      <w:kern w:val="0"/>
                      <w:sz w:val="32"/>
                      <w:szCs w:val="32"/>
                    </w:rPr>
                    <w:t>项  目  支  出  绩  效  目  标  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831" w:type="dxa"/>
                  <w:gridSpan w:val="6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民丰县财政局</w:t>
                  </w:r>
                </w:p>
              </w:tc>
              <w:tc>
                <w:tcPr>
                  <w:tcW w:w="19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4022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2020年民丰县预决算工作项目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219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5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年度资金总额：</w:t>
                  </w:r>
                </w:p>
              </w:tc>
              <w:tc>
                <w:tcPr>
                  <w:tcW w:w="216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其中：财政拨款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381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其他资金</w:t>
                  </w:r>
                </w:p>
              </w:tc>
              <w:tc>
                <w:tcPr>
                  <w:tcW w:w="2641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778" w:type="dxa"/>
                  <w:gridSpan w:val="1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top"/>
                </w:tcPr>
                <w:p>
                  <w:pPr>
                    <w:widowControl/>
                    <w:jc w:val="both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目标1：对民丰县65个预算单位进行预算和决算，包括每年进行预算决算的相关培训辅导及审核等工作。</w:t>
                  </w:r>
                </w:p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目标2：该项工作有利于提高民丰县资金管理水平和政策实施效果，推动财政资金聚力增效，提高公共服务供给质量，增强政府公信力和执行力。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一级</w:t>
                  </w: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br w:type="textWrapping"/>
                  </w: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二级指标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三级指标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指标值（包含数字及文字描述）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项目完成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数量指标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预算单位数量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65个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决算单位数量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65个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预算决算培训次数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预算决算审核次数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1次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质量指标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预算编制完成率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≥98%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决算编制完成率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≥98%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时效指标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预算完成时效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2020年10月-2020年12月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决算完成时效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2021年1月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成本指标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预算单位进行预算的费用成本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200元/个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决算单位进行决算的费用成本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200元/个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项目效益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经济效益指标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提高财政资金管理效率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明显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社会效益指标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规范政府收支行为、强化预算约束保障经济社会健康发展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明显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生态效益指标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可持续影响指标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规范财政资金预算管理行为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长期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3" w:hRule="atLeast"/>
              </w:trPr>
              <w:tc>
                <w:tcPr>
                  <w:tcW w:w="219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满意度指标</w:t>
                  </w:r>
                </w:p>
              </w:tc>
              <w:tc>
                <w:tcPr>
                  <w:tcW w:w="185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服务对象满意度指标</w:t>
                  </w:r>
                </w:p>
              </w:tc>
              <w:tc>
                <w:tcPr>
                  <w:tcW w:w="6148" w:type="dxa"/>
                  <w:gridSpan w:val="7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群众满意度</w:t>
                  </w:r>
                </w:p>
              </w:tc>
              <w:tc>
                <w:tcPr>
                  <w:tcW w:w="3773" w:type="dxa"/>
                  <w:gridSpan w:val="4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default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≥95%</w:t>
                  </w:r>
                </w:p>
              </w:tc>
            </w:tr>
          </w:tbl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无。</w:t>
      </w: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部门支出预算的组成部</w:t>
      </w:r>
      <w:r>
        <w:rPr>
          <w:rFonts w:hint="eastAsia" w:ascii="仿宋_GB2312" w:eastAsia="仿宋_GB2312"/>
          <w:sz w:val="32"/>
          <w:szCs w:val="32"/>
          <w:highlight w:val="none"/>
        </w:rPr>
        <w:t>分，是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民丰县财政局</w:t>
      </w:r>
      <w:r>
        <w:rPr>
          <w:rFonts w:hint="eastAsia" w:ascii="仿宋_GB2312" w:eastAsia="仿宋_GB2312"/>
          <w:sz w:val="32"/>
          <w:szCs w:val="32"/>
          <w:highlight w:val="none"/>
        </w:rPr>
        <w:t>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  <w:highlight w:val="none"/>
        </w:rPr>
        <w:t>、“三公”经费：</w:t>
      </w:r>
      <w:r>
        <w:rPr>
          <w:rFonts w:hint="eastAsia" w:ascii="仿宋_GB2312" w:eastAsia="仿宋_GB2312"/>
          <w:sz w:val="32"/>
          <w:szCs w:val="32"/>
          <w:highlight w:val="none"/>
        </w:rPr>
        <w:t>指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民丰县财政局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用一般公共预算财政拨款安排的公务用车运行费费。其中，公务用车运行费指单位公务用车购置费及租用费、燃料费、维修费、过路过桥费、保险费、安全奖励费用等支出。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eastAsia="zh-CN"/>
        </w:rPr>
        <w:t>民丰县财政局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民丰县财政局</w:t>
      </w:r>
    </w:p>
    <w:p>
      <w:pPr>
        <w:widowControl/>
        <w:spacing w:line="520" w:lineRule="exact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2B5144"/>
    <w:rsid w:val="00325B17"/>
    <w:rsid w:val="00FC6ABD"/>
    <w:rsid w:val="07926BB2"/>
    <w:rsid w:val="083F3F26"/>
    <w:rsid w:val="0A136F96"/>
    <w:rsid w:val="0A9E35F2"/>
    <w:rsid w:val="11082D94"/>
    <w:rsid w:val="12AE2796"/>
    <w:rsid w:val="1390306C"/>
    <w:rsid w:val="16CC35E5"/>
    <w:rsid w:val="20A81213"/>
    <w:rsid w:val="28887F09"/>
    <w:rsid w:val="28AF1CA1"/>
    <w:rsid w:val="2A6F25F2"/>
    <w:rsid w:val="2CCB2716"/>
    <w:rsid w:val="2DD4503C"/>
    <w:rsid w:val="2F9D3E96"/>
    <w:rsid w:val="2FE532A2"/>
    <w:rsid w:val="31635783"/>
    <w:rsid w:val="32186B3C"/>
    <w:rsid w:val="34B037C5"/>
    <w:rsid w:val="36A6339A"/>
    <w:rsid w:val="3D17744D"/>
    <w:rsid w:val="40821880"/>
    <w:rsid w:val="45F97C25"/>
    <w:rsid w:val="46E94081"/>
    <w:rsid w:val="4AB57648"/>
    <w:rsid w:val="4C0673AC"/>
    <w:rsid w:val="4CF21774"/>
    <w:rsid w:val="4CF43D7C"/>
    <w:rsid w:val="512E30F1"/>
    <w:rsid w:val="52F86A13"/>
    <w:rsid w:val="56920F39"/>
    <w:rsid w:val="58175DAE"/>
    <w:rsid w:val="588301A5"/>
    <w:rsid w:val="5C2B23F5"/>
    <w:rsid w:val="5EC6602E"/>
    <w:rsid w:val="6032701E"/>
    <w:rsid w:val="654F7292"/>
    <w:rsid w:val="68B9072D"/>
    <w:rsid w:val="6B403C65"/>
    <w:rsid w:val="6B793615"/>
    <w:rsid w:val="6CC91855"/>
    <w:rsid w:val="7BFB0F25"/>
    <w:rsid w:val="7C6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1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2020-06-24T09:23:34Z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