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民丰县安迪尔乡小学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民丰县安迪尔乡小学单位概况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一、关于民丰县安迪尔乡小学2020年收支预算情况的总体说明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二、关于民丰县安迪尔乡小学2020年收入预算情况说明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三、关于民丰县安迪尔乡小学2020年支出预算情况说明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四、关于民丰县安迪尔乡小学2020年财政拨款收支预算情况的总体说明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五、关于民丰县安迪尔乡小学2020年一般公共预算当年拨款情况说明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六、关于民丰县安迪尔乡小学2020年一般公共预算基本支出情况说明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七、关于民丰县安迪尔乡小学2020年项目支出情况说明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八、关于民丰县安迪尔乡小学2020年一般公共预算“三公”经费预算情况说明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九、关于民丰县安迪尔乡小学2020年政府性基金预算拨款情况说明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民丰县安迪尔乡小学单位概况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960" w:firstLineChars="300"/>
        <w:jc w:val="left"/>
        <w:rPr>
          <w:rFonts w:hint="eastAsia" w:ascii="仿宋_GB2312" w:hAnsi="宋体" w:eastAsia="黑体" w:cs="宋体"/>
          <w:bCs/>
          <w:kern w:val="0"/>
          <w:sz w:val="32"/>
          <w:szCs w:val="32"/>
          <w:lang w:eastAsia="zh-CN"/>
        </w:rPr>
      </w:pPr>
      <w:r>
        <w:rPr>
          <w:rFonts w:hint="eastAsia" w:ascii="黑体" w:hAnsi="黑体" w:eastAsia="黑体" w:cs="宋体"/>
          <w:bCs/>
          <w:kern w:val="0"/>
          <w:sz w:val="32"/>
          <w:szCs w:val="32"/>
        </w:rPr>
        <w:t xml:space="preserve">   </w:t>
      </w:r>
      <w:r>
        <w:rPr>
          <w:rFonts w:hint="eastAsia" w:ascii="仿宋_GB2312" w:hAnsi="宋体" w:eastAsia="仿宋_GB2312"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1600" w:firstLineChars="5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略</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编制部门：民丰县安迪尔乡小学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604.19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83.18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4" w:hRule="exact"/>
        </w:trPr>
        <w:tc>
          <w:tcPr>
            <w:tcW w:w="2280" w:type="dxa"/>
            <w:tcBorders>
              <w:top w:val="nil"/>
              <w:left w:val="single" w:color="auto" w:sz="4" w:space="0"/>
              <w:bottom w:val="single" w:color="auto" w:sz="4" w:space="0"/>
              <w:right w:val="single" w:color="auto" w:sz="4" w:space="0"/>
            </w:tcBorders>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民丰县安迪尔乡小学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教育支出</w:t>
            </w:r>
          </w:p>
        </w:tc>
        <w:tc>
          <w:tcPr>
            <w:tcW w:w="82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604.19</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普通教育</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604.19</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01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学前教育</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9.91</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9.91</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小学教育</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594.28</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594.28</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83.18</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行政事业单位养老支出</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83.18</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机关事业单位基本养老保险支出</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83.18</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687.37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687.37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民丰县安迪尔乡小学                              单位：万元</w:t>
      </w:r>
    </w:p>
    <w:tbl>
      <w:tblPr>
        <w:tblStyle w:val="7"/>
        <w:tblW w:w="9420" w:type="dxa"/>
        <w:tblInd w:w="-240" w:type="dxa"/>
        <w:tblLayout w:type="fixed"/>
        <w:tblCellMar>
          <w:top w:w="0" w:type="dxa"/>
          <w:left w:w="108" w:type="dxa"/>
          <w:bottom w:w="0" w:type="dxa"/>
          <w:right w:w="108" w:type="dxa"/>
        </w:tblCellMar>
      </w:tblPr>
      <w:tblGrid>
        <w:gridCol w:w="490"/>
        <w:gridCol w:w="425"/>
        <w:gridCol w:w="426"/>
        <w:gridCol w:w="246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教育支出</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　</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普通教育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01</w:t>
            </w: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学前教育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9.91</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9.91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小学教育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594.28</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594.28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　</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行政事业单位养老支出</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机关事业单位基本养老保险支出</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687.37　</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687.37</w:t>
            </w:r>
          </w:p>
        </w:tc>
        <w:tc>
          <w:tcPr>
            <w:tcW w:w="190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bl>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民丰县安迪尔乡小学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w:t>
            </w:r>
            <w:bookmarkStart w:id="0" w:name="_GoBack"/>
            <w:bookmarkEnd w:id="0"/>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604.19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604.19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83.18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83.18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687.37</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687.37</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687.37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民丰县安迪尔乡小学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教育支出</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　</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　</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普通教育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604.19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01</w:t>
            </w: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学前教育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9.91</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9.91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小学教育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594.28</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594.28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　</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机关事业单位基本养老保险支出</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83.18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687.37　</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687.37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民丰县安迪尔乡小学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118.96</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118.96</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290.55</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290.55</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spacing w:line="300" w:lineRule="exact"/>
              <w:ind w:right="147" w:rightChars="7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9.91</w:t>
            </w:r>
          </w:p>
        </w:tc>
        <w:tc>
          <w:tcPr>
            <w:tcW w:w="1701" w:type="dxa"/>
            <w:gridSpan w:val="2"/>
            <w:tcBorders>
              <w:top w:val="nil"/>
              <w:left w:val="nil"/>
              <w:bottom w:val="single" w:color="auto" w:sz="4" w:space="0"/>
              <w:right w:val="single" w:color="auto" w:sz="4" w:space="0"/>
            </w:tcBorders>
            <w:vAlign w:val="center"/>
          </w:tcPr>
          <w:p>
            <w:pPr>
              <w:widowControl/>
              <w:spacing w:line="300" w:lineRule="exact"/>
              <w:ind w:right="147" w:rightChars="7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9.91</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83.18</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83.18</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职工基本医疗保险缴费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21.36</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21.36</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其他社会保险</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35.65</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35.65</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住房公积金</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7.31</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7.31</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4.39</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工会会员</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6.27</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福利费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5.65</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退休费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5.17</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5.17</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生活补助</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98.97</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98.97</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687.37</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671.06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16.31　</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民丰县安迪尔乡小学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w:t>
      </w:r>
      <w:r>
        <w:rPr>
          <w:rFonts w:hint="eastAsia" w:ascii="仿宋_GB2312" w:hAnsi="宋体" w:eastAsia="仿宋_GB2312" w:cs="宋体"/>
          <w:b/>
          <w:bCs/>
          <w:color w:val="000000"/>
          <w:kern w:val="0"/>
          <w:sz w:val="32"/>
          <w:szCs w:val="32"/>
        </w:rPr>
        <w:t>项目支出情况</w:t>
      </w:r>
      <w:r>
        <w:rPr>
          <w:rFonts w:hint="eastAsia" w:ascii="仿宋_GB2312" w:hAnsi="宋体" w:eastAsia="仿宋_GB2312"/>
          <w:b/>
          <w:kern w:val="0"/>
          <w:sz w:val="28"/>
          <w:szCs w:val="32"/>
        </w:rPr>
        <w:t>。</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编制单位：民丰县安迪尔乡小学                                     单位：万元</w:t>
      </w:r>
    </w:p>
    <w:tbl>
      <w:tblPr>
        <w:tblStyle w:val="7"/>
        <w:tblW w:w="9351" w:type="dxa"/>
        <w:tblInd w:w="-173" w:type="dxa"/>
        <w:tblLayout w:type="fixed"/>
        <w:tblCellMar>
          <w:top w:w="0" w:type="dxa"/>
          <w:left w:w="108" w:type="dxa"/>
          <w:bottom w:w="0" w:type="dxa"/>
          <w:right w:w="108" w:type="dxa"/>
        </w:tblCellMar>
      </w:tblPr>
      <w:tblGrid>
        <w:gridCol w:w="1594"/>
        <w:gridCol w:w="1434"/>
        <w:gridCol w:w="1578"/>
        <w:gridCol w:w="1435"/>
        <w:gridCol w:w="1578"/>
        <w:gridCol w:w="1732"/>
      </w:tblGrid>
      <w:tr>
        <w:tblPrEx>
          <w:tblCellMar>
            <w:top w:w="0" w:type="dxa"/>
            <w:left w:w="108" w:type="dxa"/>
            <w:bottom w:w="0" w:type="dxa"/>
            <w:right w:w="108" w:type="dxa"/>
          </w:tblCellMar>
        </w:tblPrEx>
        <w:trPr>
          <w:trHeight w:val="522" w:hRule="atLeast"/>
        </w:trPr>
        <w:tc>
          <w:tcPr>
            <w:tcW w:w="1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9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774"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66" w:hRule="atLeast"/>
        </w:trPr>
        <w:tc>
          <w:tcPr>
            <w:tcW w:w="15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3" w:hRule="atLeast"/>
        </w:trPr>
        <w:tc>
          <w:tcPr>
            <w:tcW w:w="15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0" w:hRule="atLeast"/>
        </w:trPr>
        <w:tc>
          <w:tcPr>
            <w:tcW w:w="15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8" w:hRule="atLeast"/>
        </w:trPr>
        <w:tc>
          <w:tcPr>
            <w:tcW w:w="15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44" w:hRule="atLeast"/>
        </w:trPr>
        <w:tc>
          <w:tcPr>
            <w:tcW w:w="15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备注：本单位无</w:t>
      </w:r>
      <w:r>
        <w:rPr>
          <w:rFonts w:hint="eastAsia" w:ascii="仿宋_GB2312" w:hAnsi="宋体" w:eastAsia="仿宋_GB2312" w:cs="宋体"/>
          <w:b/>
          <w:bCs/>
          <w:color w:val="000000"/>
          <w:kern w:val="0"/>
          <w:sz w:val="32"/>
          <w:szCs w:val="32"/>
        </w:rPr>
        <w:t>“三公经费”支出情况</w:t>
      </w:r>
      <w:r>
        <w:rPr>
          <w:rFonts w:hint="eastAsia" w:ascii="仿宋_GB2312" w:hAnsi="宋体" w:eastAsia="仿宋_GB2312"/>
          <w:b/>
          <w:kern w:val="0"/>
          <w:sz w:val="28"/>
          <w:szCs w:val="32"/>
        </w:rPr>
        <w:t>。</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民丰县安迪尔乡小学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42"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43"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0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48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275"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关于民丰县安迪尔乡小学2020年收支预算情况的总体说明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按照全口径预算的原则，民丰县安迪尔乡小学2020年所有收入和支出均纳入部门预算管理。收支总预算687.37万元。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收入预算包括：一般公共预算收入687.37万元。</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支出预算包括：教育支出604.19万元、社会保障和就业支出83.19万元。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二、关于民丰县安迪尔乡小学2020年收入预算情况说明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民丰县安迪尔乡小学收入预算 687.37 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一般公共预算687.37万元，占 100 %，比上年增加687.37 万元，主要原因是本单位为2020年新增预算单位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三、关于民丰县安迪尔乡小学单位2020年支出预算情况说明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民丰县安迪尔乡小学单位2020年支出预算 687.37  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基本支出687.37 万元，占 100 %，比上年增加 687.37万元，主要原因是本单位为2020年新增预算单位  ；主要用于发放职工基本工资、津贴补贴、奖金、其他工资福利支出、退休费、其他对个人和家庭的补助,缴纳机关事业单位基本养老保险缴费、职业年金缴费、职工基本医疗保险缴费、其他社会保障缴费、住房公积金、医疗费、取暖费、工会经费、福利费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具体预算如下：  205教育支出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02普通教育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01学前教育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9.91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比上年执行数增加9.91 万元，增长100%，主要原因是：本单位为2020年新增预算单位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2.205教育支出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02普通教育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02小学教育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594.28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比上年执行数增加594.28万元，增长100 %，主要原因是：本单位为2020年新增预算单位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3.</w:t>
      </w:r>
      <w:r>
        <w:rPr>
          <w:rFonts w:hint="eastAsia" w:ascii="仿宋_GB2312" w:hAnsi="宋体" w:eastAsia="仿宋_GB2312" w:cs="宋体"/>
          <w:kern w:val="0"/>
          <w:sz w:val="32"/>
          <w:szCs w:val="32"/>
        </w:rPr>
        <w:t>208社会保障和就业支出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05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05机关事业单位基本养老保险缴费支出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83.18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比上年执行数增加83.18万元，增长100%，主要原因是：本单位为2020年新增预算单位 ；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本年未按排项目经费</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四、关于民丰县安迪尔乡小学2020年财政拨款收支预算情况的总体说明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687.37 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支出预算包括：教育支出（类）604.19万元</w:t>
      </w:r>
      <w:r>
        <w:rPr>
          <w:rFonts w:hint="eastAsia" w:ascii="仿宋_GB2312" w:hAnsi="宋体" w:eastAsia="仿宋_GB2312" w:cs="宋体"/>
          <w:kern w:val="0"/>
          <w:sz w:val="32"/>
          <w:szCs w:val="32"/>
          <w:lang w:eastAsia="zh-CN"/>
        </w:rPr>
        <w:t>主要用于工资福利支出，商品服务支出及对个人和家庭的补助支出等；</w:t>
      </w:r>
      <w:r>
        <w:rPr>
          <w:rFonts w:hint="eastAsia" w:ascii="仿宋_GB2312" w:hAnsi="宋体" w:eastAsia="仿宋_GB2312" w:cs="宋体"/>
          <w:kern w:val="0"/>
          <w:sz w:val="32"/>
          <w:szCs w:val="32"/>
        </w:rPr>
        <w:t>208社会保障和就业支出（类）83.19万元</w:t>
      </w:r>
      <w:r>
        <w:rPr>
          <w:rFonts w:hint="eastAsia" w:ascii="仿宋_GB2312" w:hAnsi="宋体" w:eastAsia="仿宋_GB2312" w:cs="宋体"/>
          <w:kern w:val="0"/>
          <w:sz w:val="32"/>
          <w:szCs w:val="32"/>
          <w:lang w:eastAsia="zh-CN"/>
        </w:rPr>
        <w:t>，主要用于养老保险支出</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五、关于民丰县安迪尔乡小学2020年一般公共预算当年拨款情况说明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民丰县安迪尔乡小学2020年一般公共预算拨款基本支出  687.37万元，比上年执行数增加687.37 万元，增长100 %。主要原因是：本单位为2020年新增预算单位  ；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1.教育支出（类）604.19</w:t>
      </w:r>
      <w:r>
        <w:rPr>
          <w:rFonts w:hint="eastAsia" w:ascii="仿宋_GB2312" w:hAnsi="宋体" w:eastAsia="仿宋_GB2312" w:cs="宋体"/>
          <w:kern w:val="0"/>
          <w:sz w:val="32"/>
          <w:szCs w:val="32"/>
        </w:rPr>
        <w:t>万元，占 87.9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（类）9.91</w:t>
      </w:r>
      <w:r>
        <w:rPr>
          <w:rFonts w:hint="eastAsia" w:ascii="仿宋_GB2312" w:hAnsi="宋体" w:eastAsia="仿宋_GB2312" w:cs="宋体"/>
          <w:kern w:val="0"/>
          <w:sz w:val="32"/>
          <w:szCs w:val="32"/>
        </w:rPr>
        <w:t>万元，占12.1%。</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1.205教育支出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02普通教育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01学前教育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9.91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比上年执行数增加9.91 万元，增长100%，主要原因是：本单位为2020年新增预算单位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2.205教育支出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02普通教育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02小学教育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594.28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比上年执行数增加594.28万元，增长100 %，主要原因是：本单位为2020年新增预算单位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3.</w:t>
      </w:r>
      <w:r>
        <w:rPr>
          <w:rFonts w:hint="eastAsia" w:ascii="仿宋_GB2312" w:hAnsi="宋体" w:eastAsia="仿宋_GB2312" w:cs="宋体"/>
          <w:kern w:val="0"/>
          <w:sz w:val="32"/>
          <w:szCs w:val="32"/>
        </w:rPr>
        <w:t>208社会保障和就业支出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05 行政事业的单位养老支出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05机关事业单位基本养老保险缴费支出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83.18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比上年执行数增加83.18万元，增长100%，主要原因是：本单位为2020年新增预算单位 ；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六、关于民丰县安迪尔乡小学2020年一般公共预算基本支出情况说明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民丰县安迪尔乡小学2020年一般公共预算基本支出      687.37万元，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671.06万元，主要包括：基本工资、津贴补贴、奖金、机关事业单位基本养老保险缴费、职业年金缴费、职工基本医疗保险缴费、其他社会保障缴费、住房公积金、医疗费、其他工资福利支出、退休费、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公用经费16.31万元，主要包括：取暖费、工会经费、福利费等。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七、关于民丰县安迪尔乡小学2020年项目支出情况说明</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2020年本单位没有安排项目支出。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八、关于民丰县安迪尔乡小学2020年一般公共预算“三公”经费预算情况说明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民丰县安迪尔乡小学2020年“三公”经费财政拨款预算数为   0 万元，其中：因公出国（境）费0万元，公务用车购置0 万元，公务用车运行费 0万元，公务接待费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万元，其中：因公出国（境）费增加0万元，主要原因是 预算未安排  ；公务用车购置费为0，未安排预算。[或公务用车购置费增加 0 万元，主要原因是 未安排预算 ]；公务用车运行费增加0万元，主要原因是</w:t>
      </w:r>
      <w:r>
        <w:rPr>
          <w:rFonts w:hint="eastAsia" w:ascii="仿宋_GB2312" w:hAnsi="宋体" w:eastAsia="仿宋_GB2312" w:cs="宋体"/>
          <w:kern w:val="0"/>
          <w:sz w:val="32"/>
          <w:szCs w:val="32"/>
          <w:lang w:eastAsia="zh-CN"/>
        </w:rPr>
        <w:t>未按排公务用车运行经费</w:t>
      </w:r>
      <w:r>
        <w:rPr>
          <w:rFonts w:hint="eastAsia" w:ascii="仿宋_GB2312" w:hAnsi="宋体" w:eastAsia="仿宋_GB2312" w:cs="宋体"/>
          <w:kern w:val="0"/>
          <w:sz w:val="32"/>
          <w:szCs w:val="32"/>
          <w:lang w:val="en-US" w:eastAsia="zh-CN"/>
        </w:rPr>
        <w:t>支出</w:t>
      </w:r>
      <w:r>
        <w:rPr>
          <w:rFonts w:hint="eastAsia" w:ascii="仿宋_GB2312" w:hAnsi="宋体" w:eastAsia="仿宋_GB2312" w:cs="宋体"/>
          <w:kern w:val="0"/>
          <w:sz w:val="32"/>
          <w:szCs w:val="32"/>
        </w:rPr>
        <w:t>；公务接待费增加0万元，主要原因是未安排预算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九、关于民丰县安迪尔乡小学2020年政府性基金预算拨款情况说明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民丰县安迪尔乡小学2020年没有使用政府性基金预算拨款安排的支出，政府性基金预算支出情况表为空表。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2020年，民丰县安迪尔乡小学本级及下属0家行政单位和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家事业单位的机关运行经费财政拨款预算16.31 万元，比上年预算增加16.31万元，增长100%。主要原因是本单位为2020年新增预算单位 ；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2020年，民丰县安迪尔乡小学及下属单位政府采购预算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万元，其中：政府采购货物预算0万元，政府采购工程预算0 万元，政府采购服务预算 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截至2019年底，民丰县安迪尔乡小学及下属各预算单位占用使用国有资产总体情况为：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1.房屋4012平方米，价值38.17万元。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.办公家具价值2.79万元。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.其他资产价值46.05万元。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r>
        <w:rPr>
          <w:rFonts w:hint="eastAsia" w:ascii="仿宋_GB2312" w:hAnsi="宋体" w:eastAsia="仿宋_GB2312" w:cs="宋体"/>
          <w:kern w:val="0"/>
          <w:sz w:val="32"/>
          <w:szCs w:val="32"/>
        </w:rPr>
        <w:t>2020年度，本年度实行绩效管理的项目 0 个，涉及预算金额  0万元。具体情况见下表（按项目分别填报）：</w:t>
      </w: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hint="eastAsia" w:ascii="仿宋_GB2312" w:eastAsia="仿宋_GB2312"/>
          <w:sz w:val="32"/>
          <w:szCs w:val="32"/>
        </w:rPr>
      </w:pPr>
      <w:r>
        <w:rPr>
          <w:rFonts w:hint="eastAsia" w:ascii="黑体" w:hAnsi="黑体" w:eastAsia="黑体"/>
          <w:sz w:val="32"/>
          <w:szCs w:val="32"/>
        </w:rPr>
        <w:t>四、</w:t>
      </w:r>
      <w:r>
        <w:rPr>
          <w:rFonts w:hint="eastAsia" w:ascii="黑体" w:hAnsi="黑体" w:eastAsia="黑体"/>
          <w:sz w:val="32"/>
          <w:szCs w:val="32"/>
          <w:highlight w:val="none"/>
        </w:rPr>
        <w:t>“三公”经费：</w:t>
      </w:r>
      <w:r>
        <w:rPr>
          <w:rFonts w:hint="eastAsia" w:ascii="仿宋_GB2312" w:eastAsia="仿宋_GB2312"/>
          <w:sz w:val="32"/>
          <w:szCs w:val="32"/>
          <w:highlight w:val="none"/>
        </w:rPr>
        <w:t>指</w:t>
      </w:r>
      <w:r>
        <w:rPr>
          <w:rFonts w:hint="eastAsia" w:ascii="仿宋_GB2312" w:hAnsi="宋体" w:eastAsia="仿宋_GB2312" w:cs="宋体"/>
          <w:kern w:val="0"/>
          <w:sz w:val="32"/>
          <w:szCs w:val="32"/>
        </w:rPr>
        <w:t>民丰县安迪尔乡小学</w:t>
      </w:r>
      <w:r>
        <w:rPr>
          <w:rFonts w:hint="eastAsia" w:ascii="仿宋_GB2312" w:eastAsia="仿宋_GB2312"/>
          <w:sz w:val="32"/>
          <w:szCs w:val="32"/>
        </w:rPr>
        <w:t>用一般公共预算财政拨款安排的公务用车运行费费。其中，公务用车运行费指单位公务用车购置费及租用费、燃料费、维修费、过路过桥费、保险费、安全奖励费用等支出。</w:t>
      </w:r>
    </w:p>
    <w:p>
      <w:pPr>
        <w:spacing w:line="520" w:lineRule="exact"/>
        <w:ind w:firstLine="642"/>
        <w:rPr>
          <w:rFonts w:ascii="仿宋_GB2312" w:eastAsia="仿宋_GB2312"/>
          <w:sz w:val="32"/>
          <w:szCs w:val="32"/>
        </w:rPr>
      </w:pPr>
      <w:r>
        <w:rPr>
          <w:rFonts w:hint="eastAsia" w:ascii="仿宋_GB2312" w:eastAsia="仿宋_GB2312"/>
          <w:b/>
          <w:bCs/>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rPr>
        <w:t>民丰县安迪尔乡小学</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民丰县安迪尔乡小学</w:t>
      </w:r>
    </w:p>
    <w:p>
      <w:pPr>
        <w:widowControl/>
        <w:spacing w:line="520" w:lineRule="exact"/>
        <w:jc w:val="left"/>
        <w:rPr>
          <w:rFonts w:ascii="宋体" w:hAnsi="宋体" w:cs="宋体"/>
          <w:b/>
          <w:bCs/>
          <w:kern w:val="0"/>
          <w:sz w:val="44"/>
          <w:szCs w:val="44"/>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259EE"/>
    <w:rsid w:val="00051FDB"/>
    <w:rsid w:val="00054B9D"/>
    <w:rsid w:val="00070F63"/>
    <w:rsid w:val="000D3BB0"/>
    <w:rsid w:val="000E01BF"/>
    <w:rsid w:val="00162D07"/>
    <w:rsid w:val="0016452C"/>
    <w:rsid w:val="001D3261"/>
    <w:rsid w:val="001D75E5"/>
    <w:rsid w:val="002333E6"/>
    <w:rsid w:val="00236E81"/>
    <w:rsid w:val="002569D9"/>
    <w:rsid w:val="002B5144"/>
    <w:rsid w:val="00305364"/>
    <w:rsid w:val="00313BAA"/>
    <w:rsid w:val="00322C45"/>
    <w:rsid w:val="00322E83"/>
    <w:rsid w:val="00325B17"/>
    <w:rsid w:val="00346A6C"/>
    <w:rsid w:val="00380468"/>
    <w:rsid w:val="00405113"/>
    <w:rsid w:val="00407C34"/>
    <w:rsid w:val="00451BEC"/>
    <w:rsid w:val="00453407"/>
    <w:rsid w:val="004743AF"/>
    <w:rsid w:val="00474C59"/>
    <w:rsid w:val="0050596C"/>
    <w:rsid w:val="00514468"/>
    <w:rsid w:val="00536AED"/>
    <w:rsid w:val="00537305"/>
    <w:rsid w:val="00542430"/>
    <w:rsid w:val="00596337"/>
    <w:rsid w:val="005B3AE9"/>
    <w:rsid w:val="005C0461"/>
    <w:rsid w:val="005C40F6"/>
    <w:rsid w:val="005D0C8E"/>
    <w:rsid w:val="006034A9"/>
    <w:rsid w:val="0063406B"/>
    <w:rsid w:val="00643EDB"/>
    <w:rsid w:val="00676A4B"/>
    <w:rsid w:val="00682004"/>
    <w:rsid w:val="006C1DAC"/>
    <w:rsid w:val="0074195B"/>
    <w:rsid w:val="00766342"/>
    <w:rsid w:val="00774C01"/>
    <w:rsid w:val="00776FC5"/>
    <w:rsid w:val="007B08F8"/>
    <w:rsid w:val="007E3F58"/>
    <w:rsid w:val="007F6A50"/>
    <w:rsid w:val="008050B3"/>
    <w:rsid w:val="00824BC3"/>
    <w:rsid w:val="0083115A"/>
    <w:rsid w:val="008531E1"/>
    <w:rsid w:val="00874B69"/>
    <w:rsid w:val="00896FE6"/>
    <w:rsid w:val="008D2F4E"/>
    <w:rsid w:val="008F3AEE"/>
    <w:rsid w:val="008F5FD0"/>
    <w:rsid w:val="009203D5"/>
    <w:rsid w:val="00971AE6"/>
    <w:rsid w:val="009A5FF7"/>
    <w:rsid w:val="009B661E"/>
    <w:rsid w:val="00A46800"/>
    <w:rsid w:val="00A6797D"/>
    <w:rsid w:val="00A70B3C"/>
    <w:rsid w:val="00AE5874"/>
    <w:rsid w:val="00B275F0"/>
    <w:rsid w:val="00B537F2"/>
    <w:rsid w:val="00B60FB6"/>
    <w:rsid w:val="00B66FD5"/>
    <w:rsid w:val="00B735D0"/>
    <w:rsid w:val="00B86585"/>
    <w:rsid w:val="00BA4155"/>
    <w:rsid w:val="00BB4245"/>
    <w:rsid w:val="00BD45B5"/>
    <w:rsid w:val="00BD6409"/>
    <w:rsid w:val="00C04EC6"/>
    <w:rsid w:val="00C57EF0"/>
    <w:rsid w:val="00C61E68"/>
    <w:rsid w:val="00CB3BCA"/>
    <w:rsid w:val="00CC08B1"/>
    <w:rsid w:val="00CC325D"/>
    <w:rsid w:val="00D00230"/>
    <w:rsid w:val="00D822FE"/>
    <w:rsid w:val="00D841C0"/>
    <w:rsid w:val="00DC1F5D"/>
    <w:rsid w:val="00DC66AA"/>
    <w:rsid w:val="00E27CAB"/>
    <w:rsid w:val="00E33ABF"/>
    <w:rsid w:val="00E35DAD"/>
    <w:rsid w:val="00E83518"/>
    <w:rsid w:val="00EF71EE"/>
    <w:rsid w:val="00F20265"/>
    <w:rsid w:val="00F64301"/>
    <w:rsid w:val="00F95753"/>
    <w:rsid w:val="00FB44CC"/>
    <w:rsid w:val="00FC6ABD"/>
    <w:rsid w:val="0544012B"/>
    <w:rsid w:val="07926BB2"/>
    <w:rsid w:val="083F3F26"/>
    <w:rsid w:val="10D552CE"/>
    <w:rsid w:val="1390306C"/>
    <w:rsid w:val="16CC35E5"/>
    <w:rsid w:val="199F0FED"/>
    <w:rsid w:val="20231B3E"/>
    <w:rsid w:val="2A6F25F2"/>
    <w:rsid w:val="2CCB2716"/>
    <w:rsid w:val="2F486D79"/>
    <w:rsid w:val="2F9D3E96"/>
    <w:rsid w:val="2FE532A2"/>
    <w:rsid w:val="34B037C5"/>
    <w:rsid w:val="35DF79C4"/>
    <w:rsid w:val="40821880"/>
    <w:rsid w:val="46ED422A"/>
    <w:rsid w:val="46F85330"/>
    <w:rsid w:val="4C0673AC"/>
    <w:rsid w:val="53994950"/>
    <w:rsid w:val="56920F39"/>
    <w:rsid w:val="57B50B75"/>
    <w:rsid w:val="58175DAE"/>
    <w:rsid w:val="590F3E46"/>
    <w:rsid w:val="59243ABC"/>
    <w:rsid w:val="5A3857B4"/>
    <w:rsid w:val="6B793615"/>
    <w:rsid w:val="6CC91855"/>
    <w:rsid w:val="74A161BB"/>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paragraph" w:customStyle="1" w:styleId="21">
    <w:name w:val="p15"/>
    <w:basedOn w:val="1"/>
    <w:qFormat/>
    <w:uiPriority w:val="0"/>
    <w:pPr>
      <w:widowControl/>
      <w:spacing w:before="100" w:after="100"/>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1402</Words>
  <Characters>7995</Characters>
  <Lines>66</Lines>
  <Paragraphs>18</Paragraphs>
  <TotalTime>1</TotalTime>
  <ScaleCrop>false</ScaleCrop>
  <LinksUpToDate>false</LinksUpToDate>
  <CharactersWithSpaces>9379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2020-06-24T09:22:06Z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