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2237" w:leftChars="608" w:hanging="960" w:hangingChars="3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街办、社区、村组织运转经费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  <w:t>项目</w:t>
      </w:r>
    </w:p>
    <w:p>
      <w:pPr>
        <w:snapToGrid w:val="0"/>
        <w:spacing w:line="480" w:lineRule="auto"/>
        <w:ind w:firstLine="1280" w:firstLineChars="4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民丰县委员会组织部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88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90分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该项目属于经费类项目，应该加强经费的资金管理，保障专款专用。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过程中，民丰县委员会组织部一定要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加强经费的资金管理，保障专款专用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；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民丰县委员会组织部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332D"/>
    <w:rsid w:val="13FA741C"/>
    <w:rsid w:val="145A36EF"/>
    <w:rsid w:val="17DF3056"/>
    <w:rsid w:val="19690178"/>
    <w:rsid w:val="3D40124A"/>
    <w:rsid w:val="5A446F37"/>
    <w:rsid w:val="621617B7"/>
    <w:rsid w:val="662D3EBC"/>
    <w:rsid w:val="6AF67A8D"/>
    <w:rsid w:val="75AC332D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