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color w:val="auto"/>
          <w:sz w:val="44"/>
          <w:szCs w:val="44"/>
          <w:lang w:val="en-US" w:eastAsia="zh-CN"/>
        </w:rPr>
      </w:pPr>
    </w:p>
    <w:p>
      <w:pPr>
        <w:jc w:val="center"/>
        <w:rPr>
          <w:rFonts w:hint="eastAsia" w:ascii="仿宋" w:hAnsi="仿宋" w:eastAsia="仿宋" w:cs="仿宋"/>
          <w:b/>
          <w:bCs/>
          <w:color w:val="auto"/>
          <w:sz w:val="44"/>
          <w:szCs w:val="44"/>
          <w:lang w:val="en-US" w:eastAsia="zh-CN"/>
        </w:rPr>
      </w:pPr>
    </w:p>
    <w:p>
      <w:pPr>
        <w:pStyle w:val="3"/>
        <w:rPr>
          <w:rFonts w:hint="eastAsia" w:ascii="仿宋" w:hAnsi="仿宋" w:eastAsia="仿宋" w:cs="仿宋"/>
          <w:b/>
          <w:bCs/>
          <w:color w:val="auto"/>
          <w:sz w:val="44"/>
          <w:szCs w:val="44"/>
          <w:lang w:val="en-US" w:eastAsia="zh-CN"/>
        </w:rPr>
      </w:pPr>
    </w:p>
    <w:p>
      <w:pPr>
        <w:rPr>
          <w:rFonts w:hint="eastAsia"/>
          <w:color w:val="auto"/>
          <w:lang w:val="en-US" w:eastAsia="zh-CN"/>
        </w:rPr>
      </w:pPr>
    </w:p>
    <w:p>
      <w:pPr>
        <w:jc w:val="center"/>
        <w:rPr>
          <w:rFonts w:hint="eastAsia" w:ascii="仿宋" w:hAnsi="仿宋" w:eastAsia="仿宋" w:cs="仿宋"/>
          <w:b/>
          <w:bCs/>
          <w:color w:val="auto"/>
          <w:sz w:val="44"/>
          <w:szCs w:val="44"/>
          <w:lang w:val="en-US" w:eastAsia="zh-CN"/>
        </w:rPr>
      </w:pPr>
    </w:p>
    <w:p>
      <w:pPr>
        <w:jc w:val="center"/>
        <w:rPr>
          <w:rFonts w:ascii="仿宋_GB2312" w:hAnsi="仿宋_GB2312" w:eastAsia="仿宋_GB2312" w:cs="仿宋_GB2312"/>
          <w:color w:val="auto"/>
          <w:sz w:val="32"/>
          <w:szCs w:val="32"/>
        </w:rPr>
      </w:pPr>
      <w:r>
        <w:rPr>
          <w:rFonts w:hint="eastAsia" w:ascii="宋体" w:hAnsi="宋体" w:eastAsia="宋体" w:cs="宋体"/>
          <w:b/>
          <w:bCs/>
          <w:color w:val="auto"/>
          <w:sz w:val="44"/>
          <w:szCs w:val="44"/>
        </w:rPr>
        <w:t>自治区财政支出事前绩效评估报告</w:t>
      </w:r>
    </w:p>
    <w:p>
      <w:pPr>
        <w:widowControl/>
        <w:jc w:val="center"/>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widowControl/>
        <w:rPr>
          <w:rFonts w:ascii="Times New Roman" w:hAnsi="Times New Roman" w:eastAsia="宋体" w:cs="Times New Roman"/>
          <w:b/>
          <w:bCs/>
          <w:color w:val="auto"/>
          <w:kern w:val="0"/>
          <w:sz w:val="32"/>
          <w:szCs w:val="32"/>
        </w:rPr>
      </w:pPr>
    </w:p>
    <w:p>
      <w:pPr>
        <w:ind w:left="2564" w:leftChars="456" w:hanging="1606" w:hangingChars="500"/>
        <w:rPr>
          <w:rFonts w:hint="default" w:ascii="仿宋" w:hAnsi="仿宋" w:eastAsia="仿宋" w:cs="仿宋"/>
          <w:b/>
          <w:bCs/>
          <w:color w:val="auto"/>
          <w:sz w:val="32"/>
          <w:szCs w:val="32"/>
          <w:lang w:val="en-US"/>
        </w:rPr>
      </w:pPr>
      <w:r>
        <w:rPr>
          <w:rFonts w:ascii="仿宋" w:hAnsi="仿宋" w:eastAsia="仿宋" w:cs="仿宋"/>
          <w:b/>
          <w:bCs/>
          <w:color w:val="auto"/>
          <w:kern w:val="2"/>
          <w:sz w:val="32"/>
          <w:szCs w:val="32"/>
        </w:rPr>
        <w:t>项目名称</w:t>
      </w:r>
      <w:r>
        <w:rPr>
          <w:rFonts w:hint="eastAsia" w:ascii="仿宋" w:hAnsi="仿宋" w:eastAsia="仿宋" w:cs="仿宋"/>
          <w:b/>
          <w:bCs/>
          <w:color w:val="auto"/>
          <w:kern w:val="2"/>
          <w:sz w:val="32"/>
          <w:szCs w:val="32"/>
          <w:lang w:eastAsia="zh-CN"/>
        </w:rPr>
        <w:t>：</w:t>
      </w:r>
      <w:r>
        <w:rPr>
          <w:rFonts w:hint="eastAsia" w:ascii="仿宋" w:hAnsi="仿宋" w:eastAsia="仿宋" w:cs="仿宋"/>
          <w:b/>
          <w:bCs/>
          <w:color w:val="auto"/>
          <w:kern w:val="2"/>
          <w:sz w:val="32"/>
          <w:szCs w:val="32"/>
          <w:lang w:val="en-US" w:eastAsia="zh-CN"/>
        </w:rPr>
        <w:t>街办、社区、村组织运转经费</w:t>
      </w:r>
      <w:r>
        <w:rPr>
          <w:rFonts w:hint="eastAsia" w:ascii="仿宋" w:hAnsi="仿宋" w:eastAsia="仿宋" w:cs="仿宋"/>
          <w:b/>
          <w:bCs/>
          <w:color w:val="auto"/>
          <w:kern w:val="2"/>
          <w:sz w:val="32"/>
          <w:szCs w:val="32"/>
          <w:lang w:eastAsia="zh-CN"/>
        </w:rPr>
        <w:t>项目</w:t>
      </w:r>
    </w:p>
    <w:p>
      <w:pPr>
        <w:pStyle w:val="18"/>
        <w:ind w:firstLine="964" w:firstLineChars="300"/>
        <w:jc w:val="left"/>
        <w:rPr>
          <w:rFonts w:hint="eastAsia" w:ascii="仿宋" w:hAnsi="仿宋" w:eastAsia="仿宋" w:cs="仿宋"/>
          <w:b/>
          <w:bCs/>
          <w:color w:val="auto"/>
          <w:sz w:val="32"/>
          <w:szCs w:val="32"/>
          <w:lang w:val="en-US" w:eastAsia="zh-CN"/>
        </w:rPr>
      </w:pPr>
      <w:r>
        <w:rPr>
          <w:rFonts w:ascii="仿宋" w:hAnsi="仿宋" w:eastAsia="仿宋" w:cs="仿宋"/>
          <w:b/>
          <w:bCs/>
          <w:color w:val="auto"/>
          <w:kern w:val="2"/>
          <w:sz w:val="32"/>
          <w:szCs w:val="32"/>
        </w:rPr>
        <w:t>制定单位（盖章）：</w:t>
      </w:r>
      <w:r>
        <w:rPr>
          <w:rFonts w:hint="eastAsia" w:ascii="仿宋" w:hAnsi="仿宋" w:eastAsia="仿宋" w:cs="仿宋"/>
          <w:b/>
          <w:bCs/>
          <w:color w:val="auto"/>
          <w:sz w:val="32"/>
          <w:szCs w:val="32"/>
          <w:lang w:val="en-US" w:eastAsia="zh-CN"/>
        </w:rPr>
        <w:t>中共民丰县委员会组织部</w:t>
      </w:r>
    </w:p>
    <w:p>
      <w:pPr>
        <w:pStyle w:val="18"/>
        <w:ind w:firstLine="1449" w:firstLineChars="453"/>
        <w:jc w:val="left"/>
        <w:rPr>
          <w:rFonts w:hint="eastAsia" w:ascii="仿宋" w:hAnsi="仿宋" w:eastAsia="仿宋" w:cs="仿宋"/>
          <w:color w:val="auto"/>
          <w:sz w:val="32"/>
          <w:szCs w:val="32"/>
          <w:lang w:eastAsia="zh-CN"/>
        </w:rPr>
      </w:pPr>
    </w:p>
    <w:p>
      <w:pPr>
        <w:pStyle w:val="18"/>
        <w:ind w:firstLine="1449" w:firstLineChars="453"/>
        <w:jc w:val="left"/>
        <w:rPr>
          <w:rFonts w:hint="eastAsia" w:ascii="仿宋" w:hAnsi="仿宋" w:eastAsia="仿宋" w:cs="仿宋"/>
          <w:color w:val="auto"/>
          <w:sz w:val="32"/>
          <w:szCs w:val="32"/>
          <w:lang w:eastAsia="zh-CN"/>
        </w:rPr>
      </w:pPr>
    </w:p>
    <w:p>
      <w:pPr>
        <w:pStyle w:val="18"/>
        <w:ind w:firstLine="1449" w:firstLineChars="453"/>
        <w:jc w:val="left"/>
        <w:rPr>
          <w:rFonts w:hint="eastAsia" w:ascii="仿宋" w:hAnsi="仿宋" w:eastAsia="仿宋" w:cs="仿宋"/>
          <w:color w:val="auto"/>
          <w:sz w:val="32"/>
          <w:szCs w:val="32"/>
          <w:lang w:eastAsia="zh-CN"/>
        </w:rPr>
      </w:pPr>
    </w:p>
    <w:p>
      <w:pPr>
        <w:pStyle w:val="18"/>
        <w:ind w:firstLine="1777" w:firstLineChars="553"/>
        <w:jc w:val="left"/>
        <w:rPr>
          <w:rFonts w:hint="eastAsia" w:ascii="仿宋" w:hAnsi="仿宋" w:eastAsia="仿宋" w:cs="仿宋"/>
          <w:b/>
          <w:color w:val="auto"/>
          <w:sz w:val="32"/>
          <w:szCs w:val="32"/>
        </w:rPr>
      </w:pPr>
      <w:r>
        <w:rPr>
          <w:rFonts w:hint="eastAsia" w:ascii="仿宋" w:hAnsi="仿宋" w:eastAsia="仿宋" w:cs="仿宋"/>
          <w:b/>
          <w:color w:val="auto"/>
          <w:sz w:val="32"/>
          <w:szCs w:val="32"/>
        </w:rPr>
        <w:t>评估时间：20</w:t>
      </w:r>
      <w:r>
        <w:rPr>
          <w:rFonts w:hint="eastAsia" w:ascii="仿宋" w:hAnsi="仿宋" w:eastAsia="仿宋" w:cs="仿宋"/>
          <w:b/>
          <w:color w:val="auto"/>
          <w:sz w:val="32"/>
          <w:szCs w:val="32"/>
          <w:lang w:val="en-US" w:eastAsia="zh-CN"/>
        </w:rPr>
        <w:t>20</w:t>
      </w:r>
      <w:r>
        <w:rPr>
          <w:rFonts w:hint="eastAsia" w:ascii="仿宋" w:hAnsi="仿宋" w:eastAsia="仿宋" w:cs="仿宋"/>
          <w:b/>
          <w:color w:val="auto"/>
          <w:sz w:val="32"/>
          <w:szCs w:val="32"/>
        </w:rPr>
        <w:t>年</w:t>
      </w:r>
      <w:r>
        <w:rPr>
          <w:rFonts w:hint="eastAsia" w:ascii="仿宋" w:hAnsi="仿宋" w:eastAsia="仿宋" w:cs="仿宋"/>
          <w:b/>
          <w:color w:val="auto"/>
          <w:sz w:val="32"/>
          <w:szCs w:val="32"/>
          <w:lang w:val="en-US" w:eastAsia="zh-CN"/>
        </w:rPr>
        <w:t>1</w:t>
      </w:r>
      <w:r>
        <w:rPr>
          <w:rFonts w:hint="eastAsia" w:ascii="仿宋" w:hAnsi="仿宋" w:eastAsia="仿宋" w:cs="仿宋"/>
          <w:b/>
          <w:color w:val="auto"/>
          <w:sz w:val="32"/>
          <w:szCs w:val="32"/>
        </w:rPr>
        <w:t>月</w:t>
      </w:r>
      <w:r>
        <w:rPr>
          <w:rFonts w:hint="eastAsia" w:ascii="仿宋" w:hAnsi="仿宋" w:eastAsia="仿宋" w:cs="仿宋"/>
          <w:b/>
          <w:color w:val="auto"/>
          <w:sz w:val="32"/>
          <w:szCs w:val="32"/>
          <w:lang w:val="en-US" w:eastAsia="zh-CN"/>
        </w:rPr>
        <w:t>23</w:t>
      </w:r>
      <w:r>
        <w:rPr>
          <w:rFonts w:hint="eastAsia" w:ascii="仿宋" w:hAnsi="仿宋" w:eastAsia="仿宋" w:cs="仿宋"/>
          <w:b/>
          <w:color w:val="auto"/>
          <w:sz w:val="32"/>
          <w:szCs w:val="32"/>
        </w:rPr>
        <w:t>日</w:t>
      </w:r>
      <w:bookmarkStart w:id="0" w:name="_GoBack"/>
      <w:bookmarkEnd w:id="0"/>
    </w:p>
    <w:p>
      <w:pPr>
        <w:pStyle w:val="18"/>
        <w:ind w:firstLine="1777" w:firstLineChars="553"/>
        <w:jc w:val="left"/>
        <w:rPr>
          <w:rFonts w:hint="eastAsia" w:ascii="仿宋" w:hAnsi="仿宋" w:eastAsia="仿宋" w:cs="仿宋"/>
          <w:b/>
          <w:color w:val="auto"/>
          <w:sz w:val="32"/>
          <w:szCs w:val="32"/>
        </w:rPr>
      </w:pPr>
    </w:p>
    <w:p>
      <w:pPr>
        <w:ind w:firstLine="602" w:firstLineChars="200"/>
        <w:rPr>
          <w:rFonts w:hint="eastAsia" w:ascii="仿宋" w:hAnsi="仿宋" w:eastAsia="仿宋" w:cs="仿宋"/>
          <w:b/>
          <w:bCs/>
          <w:color w:val="auto"/>
          <w:sz w:val="32"/>
          <w:szCs w:val="32"/>
        </w:rPr>
      </w:pPr>
      <w:r>
        <w:rPr>
          <w:rFonts w:hint="eastAsia" w:ascii="仿宋_GB2312" w:hAnsi="仿宋_GB2312" w:eastAsia="仿宋_GB2312" w:cs="仿宋_GB2312"/>
          <w:b/>
          <w:bCs/>
          <w:color w:val="auto"/>
          <w:sz w:val="30"/>
          <w:szCs w:val="30"/>
        </w:rPr>
        <w:t>一、评估对</w:t>
      </w:r>
      <w:r>
        <w:rPr>
          <w:rFonts w:hint="eastAsia" w:ascii="仿宋" w:hAnsi="仿宋" w:eastAsia="仿宋" w:cs="仿宋"/>
          <w:b/>
          <w:bCs/>
          <w:color w:val="auto"/>
          <w:sz w:val="32"/>
          <w:szCs w:val="32"/>
        </w:rPr>
        <w:t>象概况</w:t>
      </w:r>
    </w:p>
    <w:p>
      <w:p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(一)立项依据</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根据中央《关于加强基层服务型党组织建设的意见》（中办发〔2014〕6号）的精神，党的基层组织是党全部工作和战斗力的基础，是团结带领群众贯彻党的理论和路线方针政策、落实党的任务的战斗堡垒，长期以来在推动发展、服务群众、凝聚人心、促进和谐中发挥了重要作用。新形势下，基层党组织服务群众、做群众工作的任务更为繁重，这对强化基层党组织的服务功能提出了新的要求。党的十八大作出创新基层党建工作，加强基层服务型党组织建设的重大部署；党的十八届三中全会强调充分发挥基层党组织的战斗堡垒作用，为全面深化改革作出积极贡献。为认真贯彻落实党的十八大和十八届三中全会精神，加强基层服务型党组织建设。</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坚持以服务型党组织建设引领基层党建工作，大力推进基层党组织强化服务功能、改进服务作风、提升服务能力、完善服务保障，不断增强创造力凝聚力战斗力，充分发挥基层党组织推动发展、服务群众、凝聚人心、促进和谐的作用。</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（二）立项背景</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随着我国经济社会深刻变革，群众服务需求日益增多，特别是发展进入新阶段，改革进入攻坚期和深水区，许多改革发展稳定举措直接关系群众切身利益。面对新形势新任务，基层党组织要转变工作方式、改进工作作风，把服务作为自觉追求和基本职责，寓领导和管理于服务之中，通过服务贴近群众、团结群众、引导群众、赢得群众。</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服务民生，就是贯彻落实党的惠民利民政策，为谋民生之利、解民生之忧创造条件，为解决群众上学、看病、就业、养老、住房等实际困难提供服务，推动基层社会治理创新，主动化解社会矛盾，促进社会和谐稳定。服务群众，就是自觉践行党的根本宗旨和群众路线，既认真倾听群众意见，维护群众利益，按照群众的需求和意愿提供服务，又充分运用民主协商、耐心说服和典型示范等方法教育引导群众，团结带领群众共同创造幸福美好生活。</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按照党中央的要求，为了保持社会持续稳定，经济健康发展，基层党组织得到壮大和巩固，服务群众有效推进。现要街办、社区、村组织正常运转</w:t>
      </w:r>
      <w:r>
        <w:rPr>
          <w:rFonts w:hint="eastAsia" w:ascii="仿宋" w:hAnsi="仿宋" w:eastAsia="仿宋" w:cs="仿宋"/>
          <w:color w:val="auto"/>
          <w:sz w:val="32"/>
          <w:szCs w:val="32"/>
        </w:rPr>
        <w:t>有保障</w:t>
      </w:r>
      <w:r>
        <w:rPr>
          <w:rFonts w:hint="eastAsia" w:ascii="仿宋" w:hAnsi="仿宋" w:eastAsia="仿宋" w:cs="仿宋"/>
          <w:color w:val="auto"/>
          <w:sz w:val="32"/>
          <w:szCs w:val="32"/>
          <w:lang w:val="en-US" w:eastAsia="zh-CN"/>
        </w:rPr>
        <w:t>。</w:t>
      </w:r>
    </w:p>
    <w:p>
      <w:pPr>
        <w:numPr>
          <w:ilvl w:val="0"/>
          <w:numId w:val="0"/>
        </w:num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三</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实施主体</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民丰县街办、社区、村组织运转经费项目涉及的相关</w:t>
      </w:r>
      <w:r>
        <w:rPr>
          <w:rFonts w:hint="eastAsia" w:ascii="仿宋" w:hAnsi="仿宋" w:eastAsia="仿宋" w:cs="仿宋"/>
          <w:color w:val="auto"/>
          <w:sz w:val="32"/>
          <w:szCs w:val="32"/>
        </w:rPr>
        <w:t>主体为</w:t>
      </w:r>
      <w:r>
        <w:rPr>
          <w:rFonts w:hint="eastAsia" w:ascii="仿宋" w:hAnsi="仿宋" w:eastAsia="仿宋" w:cs="仿宋"/>
          <w:color w:val="auto"/>
          <w:sz w:val="32"/>
          <w:szCs w:val="32"/>
          <w:lang w:val="en-US" w:eastAsia="zh-CN"/>
        </w:rPr>
        <w:t>中共民丰县委员会组织部，民丰县财政局。其单位职责如下：</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中共民丰县委员会组织部</w:t>
      </w:r>
      <w:r>
        <w:rPr>
          <w:rFonts w:hint="eastAsia" w:ascii="仿宋" w:hAnsi="仿宋" w:eastAsia="仿宋" w:cs="仿宋"/>
          <w:color w:val="auto"/>
          <w:sz w:val="32"/>
          <w:szCs w:val="32"/>
        </w:rPr>
        <w:t>负责</w:t>
      </w:r>
      <w:r>
        <w:rPr>
          <w:rFonts w:hint="eastAsia" w:ascii="仿宋" w:hAnsi="仿宋" w:eastAsia="仿宋" w:cs="仿宋"/>
          <w:color w:val="auto"/>
          <w:sz w:val="32"/>
          <w:szCs w:val="32"/>
          <w:lang w:val="en-US" w:eastAsia="zh-CN"/>
        </w:rPr>
        <w:t>街办、社区、村组织运转经费项目</w:t>
      </w:r>
      <w:r>
        <w:rPr>
          <w:rFonts w:hint="eastAsia" w:ascii="仿宋" w:hAnsi="仿宋" w:eastAsia="仿宋" w:cs="仿宋"/>
          <w:color w:val="auto"/>
          <w:sz w:val="32"/>
          <w:szCs w:val="32"/>
        </w:rPr>
        <w:t>审批，建立健全项目资金的筹措、管理、申请、使用工作机制。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民丰</w:t>
      </w:r>
      <w:r>
        <w:rPr>
          <w:rFonts w:hint="eastAsia" w:ascii="仿宋" w:hAnsi="仿宋" w:eastAsia="仿宋" w:cs="仿宋"/>
          <w:color w:val="auto"/>
          <w:sz w:val="32"/>
          <w:szCs w:val="32"/>
        </w:rPr>
        <w:t>县财政局负责拨付</w:t>
      </w:r>
      <w:r>
        <w:rPr>
          <w:rFonts w:hint="eastAsia" w:ascii="仿宋" w:hAnsi="仿宋" w:eastAsia="仿宋" w:cs="仿宋"/>
          <w:color w:val="auto"/>
          <w:sz w:val="32"/>
          <w:szCs w:val="32"/>
          <w:lang w:val="en-US" w:eastAsia="zh-CN"/>
        </w:rPr>
        <w:t>街办、社区、村组织运转经费项目</w:t>
      </w:r>
      <w:r>
        <w:rPr>
          <w:rFonts w:hint="eastAsia" w:ascii="仿宋" w:hAnsi="仿宋" w:eastAsia="仿宋" w:cs="仿宋"/>
          <w:color w:val="auto"/>
          <w:sz w:val="32"/>
          <w:szCs w:val="32"/>
        </w:rPr>
        <w:t>使用资金，并加强对资金使用的监督和管理。</w:t>
      </w:r>
    </w:p>
    <w:p>
      <w:pPr>
        <w:numPr>
          <w:ilvl w:val="0"/>
          <w:numId w:val="0"/>
        </w:num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四</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主要内容</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按照党中央的要求，为了保持社会持续稳定，经济健康发展，基层党组织得到壮大和巩固，服务群众有效推进。现要街办、社区、村组织正常运转</w:t>
      </w:r>
      <w:r>
        <w:rPr>
          <w:rFonts w:hint="eastAsia" w:ascii="仿宋" w:hAnsi="仿宋" w:eastAsia="仿宋" w:cs="仿宋"/>
          <w:color w:val="auto"/>
          <w:sz w:val="32"/>
          <w:szCs w:val="32"/>
        </w:rPr>
        <w:t>有保障</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保障民丰县44个基层街办、社区、村的正常运转</w:t>
      </w:r>
      <w:r>
        <w:rPr>
          <w:rFonts w:hint="eastAsia" w:ascii="仿宋" w:hAnsi="仿宋" w:eastAsia="仿宋" w:cs="仿宋"/>
          <w:color w:val="auto"/>
          <w:sz w:val="32"/>
          <w:szCs w:val="32"/>
          <w:lang w:eastAsia="zh-CN"/>
        </w:rPr>
        <w:t>。</w:t>
      </w:r>
    </w:p>
    <w:p>
      <w:pPr>
        <w:numPr>
          <w:ilvl w:val="0"/>
          <w:numId w:val="0"/>
        </w:num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五</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预算情况</w:t>
      </w:r>
    </w:p>
    <w:p>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项目预算资金584.00万元，其中：街办组织运转经费21万元，社区组织运转经费21万元，村组织运转经费11万元。</w:t>
      </w:r>
    </w:p>
    <w:p>
      <w:pPr>
        <w:ind w:firstLine="643" w:firstLineChars="200"/>
        <w:rPr>
          <w:rFonts w:hint="eastAsia" w:ascii="仿宋" w:hAnsi="仿宋" w:eastAsia="仿宋" w:cs="仿宋"/>
          <w:color w:val="auto"/>
          <w:sz w:val="32"/>
          <w:szCs w:val="32"/>
        </w:rPr>
      </w:pPr>
      <w:r>
        <w:rPr>
          <w:rFonts w:hint="eastAsia" w:ascii="仿宋" w:hAnsi="仿宋" w:eastAsia="仿宋" w:cs="仿宋"/>
          <w:b/>
          <w:bCs/>
          <w:color w:val="auto"/>
          <w:sz w:val="32"/>
          <w:szCs w:val="32"/>
        </w:rPr>
        <w:t>二、评估的方式方法</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（一）评估程序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1.组建评估工作组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评估工作组召开部门会议，对项目进行内部沟通，了解工作要求及重点工作内容，探讨制定工作程序及注意事项。</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2.初步拟定事前评估工作方案</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按照</w:t>
      </w:r>
      <w:r>
        <w:rPr>
          <w:rFonts w:hint="eastAsia" w:ascii="仿宋" w:hAnsi="仿宋" w:eastAsia="仿宋" w:cs="仿宋"/>
          <w:color w:val="auto"/>
          <w:sz w:val="32"/>
          <w:szCs w:val="32"/>
          <w:lang w:eastAsia="zh-CN"/>
        </w:rPr>
        <w:t>中共民丰县委员会组织部</w:t>
      </w:r>
      <w:r>
        <w:rPr>
          <w:rFonts w:hint="eastAsia" w:ascii="仿宋" w:hAnsi="仿宋" w:eastAsia="仿宋" w:cs="仿宋"/>
          <w:color w:val="auto"/>
          <w:sz w:val="32"/>
          <w:szCs w:val="32"/>
        </w:rPr>
        <w:t>工作计划，拟定该项目工作方案，依据</w:t>
      </w:r>
      <w:r>
        <w:rPr>
          <w:rFonts w:hint="eastAsia" w:ascii="仿宋" w:hAnsi="仿宋" w:eastAsia="仿宋" w:cs="仿宋"/>
          <w:color w:val="auto"/>
          <w:sz w:val="32"/>
          <w:szCs w:val="32"/>
          <w:lang w:val="en-US" w:eastAsia="zh-CN"/>
        </w:rPr>
        <w:t>项目</w:t>
      </w:r>
      <w:r>
        <w:rPr>
          <w:rFonts w:hint="eastAsia" w:ascii="仿宋" w:hAnsi="仿宋" w:eastAsia="仿宋" w:cs="仿宋"/>
          <w:color w:val="auto"/>
          <w:sz w:val="32"/>
          <w:szCs w:val="32"/>
        </w:rPr>
        <w:t>内容明确工作时间节点，确保能够按照时间要求</w:t>
      </w:r>
      <w:r>
        <w:rPr>
          <w:rFonts w:hint="eastAsia" w:ascii="仿宋" w:hAnsi="仿宋" w:eastAsia="仿宋" w:cs="仿宋"/>
          <w:color w:val="auto"/>
          <w:sz w:val="32"/>
          <w:szCs w:val="32"/>
          <w:lang w:val="en-US" w:eastAsia="zh-CN"/>
        </w:rPr>
        <w:t>完成项目</w:t>
      </w:r>
      <w:r>
        <w:rPr>
          <w:rFonts w:hint="eastAsia" w:ascii="仿宋" w:hAnsi="仿宋" w:eastAsia="仿宋" w:cs="仿宋"/>
          <w:color w:val="auto"/>
          <w:sz w:val="32"/>
          <w:szCs w:val="32"/>
        </w:rPr>
        <w:t>内容。</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3.组建专家组</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按照项目特点，联系相关专家，拟定专家评估会时间。对该项目</w:t>
      </w:r>
      <w:r>
        <w:rPr>
          <w:rFonts w:hint="eastAsia" w:ascii="仿宋" w:hAnsi="仿宋" w:eastAsia="仿宋" w:cs="仿宋"/>
          <w:color w:val="auto"/>
          <w:sz w:val="32"/>
          <w:szCs w:val="32"/>
          <w:lang w:val="en-US" w:eastAsia="zh-CN"/>
        </w:rPr>
        <w:t>投保</w:t>
      </w:r>
      <w:r>
        <w:rPr>
          <w:rFonts w:hint="eastAsia" w:ascii="仿宋" w:hAnsi="仿宋" w:eastAsia="仿宋" w:cs="仿宋"/>
          <w:color w:val="auto"/>
          <w:sz w:val="32"/>
          <w:szCs w:val="32"/>
        </w:rPr>
        <w:t>方面还不能做出明确判断的，由行业专家待初步了解后确定。</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4.拟定现场调研工作提纲</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与我</w:t>
      </w:r>
      <w:r>
        <w:rPr>
          <w:rFonts w:hint="eastAsia" w:ascii="仿宋" w:hAnsi="仿宋" w:eastAsia="仿宋" w:cs="仿宋"/>
          <w:color w:val="auto"/>
          <w:sz w:val="32"/>
          <w:szCs w:val="32"/>
          <w:lang w:val="en-US" w:eastAsia="zh-CN"/>
        </w:rPr>
        <w:t>县街办、社区、村组织运转经费项目</w:t>
      </w:r>
      <w:r>
        <w:rPr>
          <w:rFonts w:hint="eastAsia" w:ascii="仿宋" w:hAnsi="仿宋" w:eastAsia="仿宋" w:cs="仿宋"/>
          <w:color w:val="auto"/>
          <w:sz w:val="32"/>
          <w:szCs w:val="32"/>
        </w:rPr>
        <w:t>负责人确定现场调研时间，明确工作内容，包括：需要准备的资料清单、项目方案、时间计划安排等。</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5.完成现场调研</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经过沟通，确定进行现场调研。现场调研完成的工作事项包括：</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（1）向项目单位下达《事前绩效现场评估通知单》；</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（2）评估工作组成员与项目单位对接，确定事前绩效评估工作具体配合人员，建立联系沟通渠道；</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）由工作组组长向项目单位介绍事前绩效评估工作、明确评估依据、评估任务、评估工作时间计划；</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）取得项目部分资料。</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（二）评估方式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本次绩效评估</w:t>
      </w:r>
      <w:r>
        <w:rPr>
          <w:rFonts w:hint="eastAsia" w:ascii="仿宋" w:hAnsi="仿宋" w:eastAsia="仿宋" w:cs="仿宋"/>
          <w:color w:val="auto"/>
          <w:sz w:val="32"/>
          <w:szCs w:val="32"/>
          <w:lang w:val="en-US" w:eastAsia="zh-CN"/>
        </w:rPr>
        <w:t>采用</w:t>
      </w:r>
      <w:r>
        <w:rPr>
          <w:rFonts w:hint="eastAsia" w:ascii="仿宋" w:hAnsi="仿宋" w:eastAsia="仿宋" w:cs="仿宋"/>
          <w:color w:val="auto"/>
          <w:sz w:val="32"/>
          <w:szCs w:val="32"/>
        </w:rPr>
        <w:t>召开部门会议</w:t>
      </w:r>
      <w:r>
        <w:rPr>
          <w:rFonts w:hint="eastAsia" w:ascii="仿宋" w:hAnsi="仿宋" w:eastAsia="仿宋" w:cs="仿宋"/>
          <w:color w:val="auto"/>
          <w:sz w:val="32"/>
          <w:szCs w:val="32"/>
          <w:lang w:val="en-US" w:eastAsia="zh-CN"/>
        </w:rPr>
        <w:t>和现场调研的评估方式，</w:t>
      </w:r>
      <w:r>
        <w:rPr>
          <w:rFonts w:hint="eastAsia" w:ascii="仿宋" w:hAnsi="仿宋" w:eastAsia="仿宋" w:cs="仿宋"/>
          <w:color w:val="auto"/>
          <w:sz w:val="32"/>
          <w:szCs w:val="32"/>
        </w:rPr>
        <w:t>对项目</w:t>
      </w:r>
      <w:r>
        <w:rPr>
          <w:rFonts w:hint="eastAsia" w:ascii="仿宋" w:hAnsi="仿宋" w:eastAsia="仿宋" w:cs="仿宋"/>
          <w:color w:val="auto"/>
          <w:sz w:val="32"/>
          <w:szCs w:val="32"/>
          <w:lang w:val="en-US" w:eastAsia="zh-CN"/>
        </w:rPr>
        <w:t>先</w:t>
      </w:r>
      <w:r>
        <w:rPr>
          <w:rFonts w:hint="eastAsia" w:ascii="仿宋" w:hAnsi="仿宋" w:eastAsia="仿宋" w:cs="仿宋"/>
          <w:color w:val="auto"/>
          <w:sz w:val="32"/>
          <w:szCs w:val="32"/>
        </w:rPr>
        <w:t>进行内部沟通，了解工作要求及重点工作内容，探讨制定工作程序及注意事项</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再组建专家组，由专家组成员对本项目出具实施意见</w:t>
      </w:r>
      <w:r>
        <w:rPr>
          <w:rFonts w:hint="eastAsia" w:ascii="仿宋" w:hAnsi="仿宋" w:eastAsia="仿宋" w:cs="仿宋"/>
          <w:color w:val="auto"/>
          <w:sz w:val="32"/>
          <w:szCs w:val="32"/>
        </w:rPr>
        <w:t>。</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本次绩效评估秉承科学规范、公平公正、绩效相关的原则，按照项目立项、预算管理、项目实施的分析路径，结合往年的工作经验，探讨项目实施过程中可能遇到的问题，切实提升财政资金实施的规范化、科学化，确保项目实施管理的有效性</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（三）评估方法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shd w:val="clear" w:color="auto" w:fill="FFFFFF"/>
        </w:rPr>
      </w:pPr>
      <w:r>
        <w:rPr>
          <w:rFonts w:hint="eastAsia" w:ascii="仿宋" w:hAnsi="仿宋" w:eastAsia="仿宋" w:cs="仿宋"/>
          <w:color w:val="auto"/>
          <w:sz w:val="32"/>
          <w:szCs w:val="32"/>
        </w:rPr>
        <w:t>本次绩效采用“</w:t>
      </w:r>
      <w:r>
        <w:rPr>
          <w:rFonts w:hint="eastAsia" w:ascii="仿宋" w:hAnsi="仿宋" w:eastAsia="仿宋" w:cs="仿宋"/>
          <w:color w:val="auto"/>
          <w:sz w:val="32"/>
          <w:szCs w:val="32"/>
          <w:shd w:val="clear" w:color="auto" w:fill="FFFFFF"/>
        </w:rPr>
        <w:t>公众评判法”进行评估。</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shd w:val="clear" w:color="auto" w:fill="FFFFFF"/>
          <w:lang w:val="en-US" w:eastAsia="zh-CN"/>
        </w:rPr>
      </w:pPr>
      <w:r>
        <w:rPr>
          <w:rFonts w:hint="eastAsia" w:ascii="仿宋" w:hAnsi="仿宋" w:eastAsia="仿宋" w:cs="仿宋"/>
          <w:color w:val="auto"/>
          <w:sz w:val="32"/>
          <w:szCs w:val="32"/>
          <w:shd w:val="clear" w:color="auto" w:fill="FFFFFF"/>
          <w:lang w:val="en-US" w:eastAsia="zh-CN"/>
        </w:rPr>
        <w:t>由于该项目</w:t>
      </w:r>
      <w:r>
        <w:rPr>
          <w:rFonts w:hint="eastAsia" w:ascii="仿宋" w:hAnsi="仿宋" w:eastAsia="仿宋" w:cs="仿宋"/>
          <w:color w:val="auto"/>
          <w:sz w:val="32"/>
          <w:szCs w:val="32"/>
          <w:highlight w:val="none"/>
          <w:lang w:val="en-US" w:eastAsia="zh-CN"/>
        </w:rPr>
        <w:t>主要用于</w:t>
      </w:r>
      <w:r>
        <w:rPr>
          <w:rFonts w:hint="eastAsia" w:ascii="仿宋" w:hAnsi="仿宋" w:eastAsia="仿宋" w:cs="仿宋"/>
          <w:color w:val="auto"/>
          <w:sz w:val="32"/>
          <w:szCs w:val="32"/>
          <w:lang w:val="en-US" w:eastAsia="zh-CN"/>
        </w:rPr>
        <w:t>街办、社区、村组织运转</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shd w:val="clear" w:color="auto" w:fill="FFFFFF"/>
          <w:lang w:val="en-US" w:eastAsia="zh-CN"/>
        </w:rPr>
        <w:t>为了保持社会持续稳定，经济健康发展，基层党组织得到壮大和巩固，服务群众有效推进。现要街办、社区、村组织正常运转有保障。</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首先，</w:t>
      </w:r>
      <w:r>
        <w:rPr>
          <w:rFonts w:hint="eastAsia" w:ascii="仿宋" w:hAnsi="仿宋" w:eastAsia="仿宋" w:cs="仿宋"/>
          <w:color w:val="auto"/>
          <w:sz w:val="32"/>
          <w:szCs w:val="32"/>
          <w:lang w:val="en-US" w:eastAsia="zh-CN"/>
        </w:rPr>
        <w:t>中共民丰县委员会组织部</w:t>
      </w:r>
      <w:r>
        <w:rPr>
          <w:rFonts w:hint="eastAsia" w:ascii="仿宋" w:hAnsi="仿宋" w:eastAsia="仿宋" w:cs="仿宋"/>
          <w:color w:val="auto"/>
          <w:sz w:val="32"/>
          <w:szCs w:val="32"/>
          <w:shd w:val="clear" w:color="auto" w:fill="FFFFFF"/>
          <w:lang w:val="en-US" w:eastAsia="zh-CN"/>
        </w:rPr>
        <w:t>项目评估小组</w:t>
      </w:r>
      <w:r>
        <w:rPr>
          <w:rFonts w:hint="eastAsia" w:ascii="仿宋" w:hAnsi="仿宋" w:eastAsia="仿宋" w:cs="仿宋"/>
          <w:color w:val="auto"/>
          <w:sz w:val="32"/>
          <w:szCs w:val="32"/>
        </w:rPr>
        <w:t>召开部门会议，对项目</w:t>
      </w:r>
      <w:r>
        <w:rPr>
          <w:rFonts w:hint="eastAsia" w:ascii="仿宋" w:hAnsi="仿宋" w:eastAsia="仿宋" w:cs="仿宋"/>
          <w:color w:val="auto"/>
          <w:sz w:val="32"/>
          <w:szCs w:val="32"/>
          <w:lang w:val="en-US" w:eastAsia="zh-CN"/>
        </w:rPr>
        <w:t>先</w:t>
      </w:r>
      <w:r>
        <w:rPr>
          <w:rFonts w:hint="eastAsia" w:ascii="仿宋" w:hAnsi="仿宋" w:eastAsia="仿宋" w:cs="仿宋"/>
          <w:color w:val="auto"/>
          <w:sz w:val="32"/>
          <w:szCs w:val="32"/>
        </w:rPr>
        <w:t>进行内部沟通，了解工作要求及重点工作内容，探讨制定工作程序及注意事项</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按照项目特点，对该项目</w:t>
      </w:r>
      <w:r>
        <w:rPr>
          <w:rFonts w:hint="eastAsia" w:ascii="仿宋" w:hAnsi="仿宋" w:eastAsia="仿宋" w:cs="仿宋"/>
          <w:color w:val="auto"/>
          <w:sz w:val="32"/>
          <w:szCs w:val="32"/>
          <w:lang w:val="en-US" w:eastAsia="zh-CN"/>
        </w:rPr>
        <w:t>投保</w:t>
      </w:r>
      <w:r>
        <w:rPr>
          <w:rFonts w:hint="eastAsia" w:ascii="仿宋" w:hAnsi="仿宋" w:eastAsia="仿宋" w:cs="仿宋"/>
          <w:color w:val="auto"/>
          <w:sz w:val="32"/>
          <w:szCs w:val="32"/>
        </w:rPr>
        <w:t>方面做出明确判断。</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shd w:val="clear" w:color="auto" w:fill="FFFFFF"/>
        </w:rPr>
        <w:t>其次，根据</w:t>
      </w:r>
      <w:r>
        <w:rPr>
          <w:rFonts w:hint="eastAsia" w:ascii="仿宋" w:hAnsi="仿宋" w:eastAsia="仿宋" w:cs="仿宋"/>
          <w:color w:val="auto"/>
          <w:sz w:val="32"/>
          <w:szCs w:val="32"/>
          <w:shd w:val="clear" w:color="auto" w:fill="FFFFFF"/>
          <w:lang w:val="en-US" w:eastAsia="zh-CN"/>
        </w:rPr>
        <w:t>部门会议决定，进行问卷调查，实地了解情况，对项目可行性提供事实依据。</w:t>
      </w:r>
      <w:r>
        <w:rPr>
          <w:rFonts w:hint="eastAsia" w:ascii="仿宋" w:hAnsi="仿宋" w:eastAsia="仿宋" w:cs="仿宋"/>
          <w:color w:val="auto"/>
          <w:sz w:val="32"/>
          <w:szCs w:val="32"/>
        </w:rPr>
        <w:t>由工作组</w:t>
      </w:r>
      <w:r>
        <w:rPr>
          <w:rFonts w:hint="eastAsia" w:ascii="仿宋" w:hAnsi="仿宋" w:eastAsia="仿宋" w:cs="仿宋"/>
          <w:color w:val="auto"/>
          <w:sz w:val="32"/>
          <w:szCs w:val="32"/>
          <w:lang w:val="en-US" w:eastAsia="zh-CN"/>
        </w:rPr>
        <w:t>成员记录各层级工作人员的情况介绍和意见</w:t>
      </w:r>
      <w:r>
        <w:rPr>
          <w:rFonts w:hint="eastAsia" w:ascii="仿宋" w:hAnsi="仿宋" w:eastAsia="仿宋" w:cs="仿宋"/>
          <w:color w:val="auto"/>
          <w:sz w:val="32"/>
          <w:szCs w:val="32"/>
        </w:rPr>
        <w:t>。</w:t>
      </w:r>
    </w:p>
    <w:p>
      <w:pPr>
        <w:numPr>
          <w:ilvl w:val="0"/>
          <w:numId w:val="1"/>
        </w:num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评估人员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组长：韩国辉（职务：民丰县组织部副部长）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组员：杨  芳（职务：民丰县组织部副部长）</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欧阳娟（职务：民丰县组织部副部长）</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雷  勇（职务：民丰县组织部项目办主任）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中共民丰县委员会组织部组成4人评估小组，对该项目情况进行全方位调查和评估，确保评估工作公开、透明，为</w:t>
      </w:r>
      <w:r>
        <w:rPr>
          <w:rFonts w:hint="eastAsia" w:ascii="仿宋" w:hAnsi="仿宋" w:eastAsia="仿宋" w:cs="仿宋"/>
          <w:b w:val="0"/>
          <w:bCs w:val="0"/>
          <w:color w:val="auto"/>
          <w:kern w:val="2"/>
          <w:sz w:val="32"/>
          <w:szCs w:val="32"/>
          <w:lang w:val="en-US" w:eastAsia="zh-CN"/>
        </w:rPr>
        <w:t>民丰县</w:t>
      </w:r>
      <w:r>
        <w:rPr>
          <w:rFonts w:hint="eastAsia" w:ascii="仿宋" w:hAnsi="仿宋" w:eastAsia="仿宋" w:cs="仿宋"/>
          <w:color w:val="auto"/>
          <w:sz w:val="32"/>
          <w:szCs w:val="32"/>
          <w:lang w:val="en-US" w:eastAsia="zh-CN"/>
        </w:rPr>
        <w:t>街办、社区、村组织运转经费项目</w:t>
      </w:r>
      <w:r>
        <w:rPr>
          <w:rFonts w:hint="eastAsia" w:ascii="仿宋" w:hAnsi="仿宋" w:eastAsia="仿宋" w:cs="仿宋"/>
          <w:color w:val="auto"/>
          <w:sz w:val="32"/>
          <w:szCs w:val="32"/>
          <w:highlight w:val="none"/>
          <w:lang w:val="en-US" w:eastAsia="zh-CN"/>
        </w:rPr>
        <w:t>工作的开展提供经验和依据。</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三、评估内容</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（一）相关性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1.政策相关性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根据中央《关于加强基层服务型党组织建设的意见》（中办发〔2014〕6号）的精神，党的基层组织是党全部工作和战斗力的基础，是团结带领群众贯彻党的理论和路线方针政策、落实党的任务的战斗堡垒，长期以来在推动发展、服务群众、凝聚人心、促进和谐中发挥了重要作用。新形势下，基层党组织服务群众、做群众工作的任务更为繁重，这对强化基层党组织的服务功能提出了新的要求。党的十八大作出创新基层党建工作，加强基层服务型党组织建设的重大部署；党的十八届三中全会强调充分发挥基层党组织的战斗堡垒作用，为全面深化改革作出积极贡献。为认真贯彻落实党的十八大和十八届三中全会精神，加强基层服务型党组织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2.职能相关</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民丰县县委组织部是民丰县县委工作机关，为正科级。在县委领导下，负责贯彻新时代党的组织路线和以习近平同志为核心的党中央治疆方略，聚焦服务社会稳定和长治久安总目标，落实党中央关于组织体系、领导班子建设，领导干部队伍、公务员队伍、人才队伍建设的方针政策和自治区党委、地委、县委决策部暑在履行职责过程中坚持和加强党对组织工作的集中统一领导。</w:t>
      </w:r>
    </w:p>
    <w:p>
      <w:pPr>
        <w:pStyle w:val="5"/>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主要职责范围如下：</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i w:val="0"/>
          <w:caps w:val="0"/>
          <w:color w:val="auto"/>
          <w:spacing w:val="0"/>
          <w:sz w:val="32"/>
          <w:szCs w:val="32"/>
          <w:u w:val="none"/>
          <w:shd w:val="clear" w:fill="FFFFFF"/>
          <w:lang w:val="en-US" w:eastAsia="zh-CN"/>
        </w:rPr>
      </w:pPr>
      <w:r>
        <w:rPr>
          <w:rFonts w:hint="eastAsia" w:ascii="仿宋" w:hAnsi="仿宋" w:eastAsia="仿宋" w:cs="仿宋"/>
          <w:i w:val="0"/>
          <w:caps w:val="0"/>
          <w:color w:val="auto"/>
          <w:spacing w:val="0"/>
          <w:sz w:val="32"/>
          <w:szCs w:val="32"/>
          <w:u w:val="none"/>
          <w:shd w:val="clear" w:fill="FFFFFF"/>
          <w:lang w:val="en-US" w:eastAsia="zh-CN"/>
        </w:rPr>
        <w:t>（1）负责党的组织制度建设，基层组织和党员队伍建设，负责党的建设和组织工作研究指导、协调全县组织系统的调研工作，组织部内和组织系统重点课题调研和研讨交流活动。会同有关方面对贯彻执行民主集中制情况进行督促检查，对乡镇党委和全县基层党组织换届选举、贯彻党委(党组)工作制度和民主生活会进行指导，负责村(社区)基层组织建设工作的政策研究和宏观指导，提出加强改进的措施。负责贯彻落实非公有制经济组织、社会组织、派驻内地民丰籍人员服务管理工作组等新兴组织党建工作的政策研究和宏观指导，提出加强改进的措施，负责党费管理，承担组工信息撰写、上报工作。</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i w:val="0"/>
          <w:caps w:val="0"/>
          <w:color w:val="auto"/>
          <w:spacing w:val="0"/>
          <w:sz w:val="32"/>
          <w:szCs w:val="32"/>
          <w:u w:val="none"/>
          <w:shd w:val="clear" w:fill="FFFFFF"/>
          <w:lang w:val="en-US" w:eastAsia="zh-CN"/>
        </w:rPr>
        <w:t>(2)负责干部教育培训、挂职工作。研究制定全县干部教育培调工作政策、规划，指导、检查、协调乡镇(街道)、部门单位干部教育培训工作;组织、协调县委管理干部、年轻干部、组织系统干部，以及机关公务员、企业领导人员、事业单位领导人员、专业技术人员、基层干部教育培训;指导、开展双语示范培训，挂职培训、网络(视频)培训;指导做好干部教育培训基地:建设、师资队伍建</w:t>
      </w:r>
      <w:r>
        <w:rPr>
          <w:rFonts w:hint="eastAsia" w:ascii="仿宋" w:hAnsi="仿宋" w:eastAsia="仿宋" w:cs="仿宋"/>
          <w:color w:val="auto"/>
          <w:sz w:val="32"/>
          <w:szCs w:val="32"/>
          <w:highlight w:val="none"/>
          <w:lang w:val="en-US" w:eastAsia="zh-CN"/>
        </w:rPr>
        <w:t>设、教材编写、培训经费管理使用、干部教育培训信息库建设;组织、指导干部教育培训研究;指导、开展国家通用语言培训。</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（二）预期绩效的可实现性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1.将项目预期目标和成本预算与主管部门历史数据对比、与计划对比、与行业平均水平对比，比较是否有明显上升或下降，是否存在异常。通过分析找出差异原因，对造成不利的因素提出解决措施。</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资金的合理使用是按进度计划顺利实施的保障，我单位将做好项目成本的控制和资金使用，确保提高综合效益。在项目的实施过程中，严格遵照合同条款中有关付款的条文，根据要求相关单位需提供必要的付款依据，并由主管部门审核。</w:t>
      </w:r>
    </w:p>
    <w:p>
      <w:pPr>
        <w:pStyle w:val="5"/>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该项目制定的资金保障</w:t>
      </w:r>
      <w:r>
        <w:rPr>
          <w:rFonts w:hint="eastAsia" w:ascii="仿宋" w:hAnsi="仿宋" w:eastAsia="仿宋" w:cs="仿宋"/>
          <w:color w:val="auto"/>
          <w:sz w:val="32"/>
          <w:szCs w:val="32"/>
          <w:lang w:val="en-US" w:eastAsia="zh-CN"/>
        </w:rPr>
        <w:t>措施</w:t>
      </w:r>
      <w:r>
        <w:rPr>
          <w:rFonts w:hint="eastAsia" w:ascii="仿宋" w:hAnsi="仿宋" w:eastAsia="仿宋" w:cs="仿宋"/>
          <w:color w:val="auto"/>
          <w:sz w:val="32"/>
          <w:szCs w:val="32"/>
        </w:rPr>
        <w:t>和成本预算</w:t>
      </w:r>
      <w:r>
        <w:rPr>
          <w:rFonts w:hint="eastAsia" w:ascii="仿宋" w:hAnsi="仿宋" w:eastAsia="仿宋" w:cs="仿宋"/>
          <w:color w:val="auto"/>
          <w:sz w:val="32"/>
          <w:szCs w:val="32"/>
          <w:lang w:val="en-US" w:eastAsia="zh-CN"/>
        </w:rPr>
        <w:t>管理</w:t>
      </w:r>
      <w:r>
        <w:rPr>
          <w:rFonts w:hint="eastAsia" w:ascii="仿宋" w:hAnsi="仿宋" w:eastAsia="仿宋" w:cs="仿宋"/>
          <w:color w:val="auto"/>
          <w:sz w:val="32"/>
          <w:szCs w:val="32"/>
        </w:rPr>
        <w:t>目标明确，</w:t>
      </w:r>
      <w:r>
        <w:rPr>
          <w:rFonts w:hint="eastAsia" w:ascii="仿宋" w:hAnsi="仿宋" w:eastAsia="仿宋" w:cs="仿宋"/>
          <w:color w:val="auto"/>
          <w:sz w:val="32"/>
          <w:szCs w:val="32"/>
          <w:lang w:val="en-US" w:eastAsia="zh-CN"/>
        </w:rPr>
        <w:t>措施</w:t>
      </w:r>
      <w:r>
        <w:rPr>
          <w:rFonts w:hint="eastAsia" w:ascii="仿宋" w:hAnsi="仿宋" w:eastAsia="仿宋" w:cs="仿宋"/>
          <w:color w:val="auto"/>
          <w:sz w:val="32"/>
          <w:szCs w:val="32"/>
        </w:rPr>
        <w:t>科学合理，项目</w:t>
      </w:r>
      <w:r>
        <w:rPr>
          <w:rFonts w:hint="eastAsia" w:ascii="仿宋" w:hAnsi="仿宋" w:eastAsia="仿宋" w:cs="仿宋"/>
          <w:color w:val="auto"/>
          <w:sz w:val="32"/>
          <w:szCs w:val="32"/>
          <w:lang w:val="en-US" w:eastAsia="zh-CN"/>
        </w:rPr>
        <w:t>实施</w:t>
      </w:r>
      <w:r>
        <w:rPr>
          <w:rFonts w:hint="eastAsia" w:ascii="仿宋" w:hAnsi="仿宋" w:eastAsia="仿宋" w:cs="仿宋"/>
          <w:color w:val="auto"/>
          <w:sz w:val="32"/>
          <w:szCs w:val="32"/>
        </w:rPr>
        <w:t>具有可操作性，</w:t>
      </w:r>
      <w:r>
        <w:rPr>
          <w:rFonts w:hint="eastAsia" w:ascii="仿宋" w:hAnsi="仿宋" w:eastAsia="仿宋" w:cs="仿宋"/>
          <w:color w:val="auto"/>
          <w:sz w:val="32"/>
          <w:szCs w:val="32"/>
          <w:lang w:val="en-US" w:eastAsia="zh-CN"/>
        </w:rPr>
        <w:t>预期绩效目标可以实现</w:t>
      </w:r>
      <w:r>
        <w:rPr>
          <w:rFonts w:hint="eastAsia" w:ascii="仿宋" w:hAnsi="仿宋" w:eastAsia="仿宋" w:cs="仿宋"/>
          <w:color w:val="auto"/>
          <w:sz w:val="32"/>
          <w:szCs w:val="32"/>
        </w:rPr>
        <w:t>。</w:t>
      </w:r>
    </w:p>
    <w:p>
      <w:pPr>
        <w:widowControl w:val="0"/>
        <w:numPr>
          <w:ilvl w:val="0"/>
          <w:numId w:val="2"/>
        </w:numPr>
        <w:spacing w:beforeLines="0" w:afterLines="0"/>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实施方案的有效性</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rPr>
      </w:pPr>
      <w:r>
        <w:rPr>
          <w:rStyle w:val="12"/>
          <w:rFonts w:hint="eastAsia" w:ascii="仿宋" w:hAnsi="仿宋" w:eastAsia="仿宋" w:cs="仿宋"/>
          <w:b w:val="0"/>
          <w:color w:val="auto"/>
          <w:spacing w:val="-4"/>
          <w:sz w:val="32"/>
          <w:szCs w:val="32"/>
          <w:lang w:val="en-US" w:eastAsia="zh-CN"/>
        </w:rPr>
        <w:t>1.资金</w:t>
      </w:r>
      <w:r>
        <w:rPr>
          <w:rStyle w:val="12"/>
          <w:rFonts w:hint="eastAsia" w:ascii="仿宋" w:hAnsi="仿宋" w:eastAsia="仿宋" w:cs="仿宋"/>
          <w:b w:val="0"/>
          <w:color w:val="auto"/>
          <w:spacing w:val="-4"/>
          <w:sz w:val="32"/>
          <w:szCs w:val="32"/>
        </w:rPr>
        <w:t>管理制度建设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rPr>
        <w:t>自本项目启动开始，实施单位</w:t>
      </w:r>
      <w:r>
        <w:rPr>
          <w:rStyle w:val="12"/>
          <w:rFonts w:hint="eastAsia" w:ascii="仿宋" w:hAnsi="仿宋" w:eastAsia="仿宋" w:cs="仿宋"/>
          <w:b w:val="0"/>
          <w:color w:val="auto"/>
          <w:sz w:val="32"/>
          <w:szCs w:val="32"/>
          <w:lang w:val="en-US" w:eastAsia="zh-CN"/>
        </w:rPr>
        <w:t>将</w:t>
      </w:r>
      <w:r>
        <w:rPr>
          <w:rStyle w:val="12"/>
          <w:rFonts w:hint="eastAsia" w:ascii="仿宋" w:hAnsi="仿宋" w:eastAsia="仿宋" w:cs="仿宋"/>
          <w:b w:val="0"/>
          <w:color w:val="auto"/>
          <w:sz w:val="32"/>
          <w:szCs w:val="32"/>
        </w:rPr>
        <w:t>严格执行财务会计各项制度、项目资金使用各项制度，严格按照《财政预算资金拨付管理暂行办法》执行</w:t>
      </w:r>
      <w:r>
        <w:rPr>
          <w:rStyle w:val="12"/>
          <w:rFonts w:hint="eastAsia" w:ascii="仿宋" w:hAnsi="仿宋" w:eastAsia="仿宋" w:cs="仿宋"/>
          <w:b w:val="0"/>
          <w:color w:val="auto"/>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在项目实施期间，实施单位</w:t>
      </w:r>
      <w:r>
        <w:rPr>
          <w:rStyle w:val="12"/>
          <w:rFonts w:hint="eastAsia" w:ascii="仿宋" w:hAnsi="仿宋" w:eastAsia="仿宋" w:cs="仿宋"/>
          <w:b w:val="0"/>
          <w:color w:val="auto"/>
          <w:sz w:val="32"/>
          <w:szCs w:val="32"/>
          <w:lang w:val="en-US" w:eastAsia="zh-CN"/>
        </w:rPr>
        <w:t>将</w:t>
      </w:r>
      <w:r>
        <w:rPr>
          <w:rStyle w:val="12"/>
          <w:rFonts w:hint="eastAsia" w:ascii="仿宋" w:hAnsi="仿宋" w:eastAsia="仿宋" w:cs="仿宋"/>
          <w:b w:val="0"/>
          <w:color w:val="auto"/>
          <w:sz w:val="32"/>
          <w:szCs w:val="32"/>
        </w:rPr>
        <w:t>切实做到：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（1）坚持一支笔和项目重大开支集体讨论制定，项目支出报分管局领导同意后，再报分管局领导例会审议通过，以会议纪要为依据方可支付。</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（2）实行项目资金公告公示制度，对资金年度使用计划、扶持对象、支持项目、补助标准、资金来源及额度等信息按规定程序进行公告、公示，接受社会监督。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（3）所有开支有详细明细和台账，确因客观原因无明细的附说明。</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Style w:val="12"/>
          <w:rFonts w:hint="eastAsia" w:ascii="仿宋" w:hAnsi="仿宋" w:eastAsia="仿宋" w:cs="仿宋"/>
          <w:b w:val="0"/>
          <w:color w:val="auto"/>
          <w:sz w:val="32"/>
          <w:szCs w:val="32"/>
        </w:rPr>
        <w:t>（4）按要求向财政上报资金使用进度情况反馈。</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rPr>
      </w:pPr>
      <w:r>
        <w:rPr>
          <w:rStyle w:val="12"/>
          <w:rFonts w:hint="eastAsia" w:ascii="仿宋" w:hAnsi="仿宋" w:eastAsia="仿宋" w:cs="仿宋"/>
          <w:b w:val="0"/>
          <w:color w:val="auto"/>
          <w:spacing w:val="-4"/>
          <w:sz w:val="32"/>
          <w:szCs w:val="32"/>
          <w:lang w:val="en-US" w:eastAsia="zh-CN"/>
        </w:rPr>
        <w:t>2.</w:t>
      </w:r>
      <w:r>
        <w:rPr>
          <w:rStyle w:val="12"/>
          <w:rFonts w:hint="eastAsia" w:ascii="仿宋" w:hAnsi="仿宋" w:eastAsia="仿宋" w:cs="仿宋"/>
          <w:b w:val="0"/>
          <w:color w:val="auto"/>
          <w:spacing w:val="-4"/>
          <w:sz w:val="32"/>
          <w:szCs w:val="32"/>
        </w:rPr>
        <w:t>项目管理制度建设</w:t>
      </w:r>
    </w:p>
    <w:p>
      <w:pPr>
        <w:pStyle w:val="5"/>
        <w:ind w:firstLine="640" w:firstLineChars="200"/>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项目管理按照业务分工由具体负责人对项目所对应的任务完成情况进行总结，对项目进度进行反馈。涉及资金使用内容，坚持项目重大开支集体讨论制定，并做好会议纪要。</w:t>
      </w:r>
    </w:p>
    <w:p>
      <w:pPr>
        <w:pStyle w:val="5"/>
        <w:numPr>
          <w:ilvl w:val="0"/>
          <w:numId w:val="3"/>
        </w:numPr>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强化项目资金管理。项目建设资金实行专款、专帐、专人管理，并严格按工程预算进行列支，坚决杜绝挤占、挪用。充分发挥审计、监察及投资和管理部门的作用，加强对资金使用的检查和监督，同时接受有关部门的检查、监督。</w:t>
      </w:r>
    </w:p>
    <w:p>
      <w:pPr>
        <w:pStyle w:val="5"/>
        <w:numPr>
          <w:ilvl w:val="0"/>
          <w:numId w:val="3"/>
        </w:numPr>
        <w:rPr>
          <w:rStyle w:val="12"/>
          <w:rFonts w:hint="eastAsia" w:ascii="仿宋" w:hAnsi="仿宋" w:eastAsia="仿宋" w:cs="仿宋"/>
          <w:b w:val="0"/>
          <w:color w:val="auto"/>
          <w:sz w:val="32"/>
          <w:szCs w:val="32"/>
          <w:lang w:val="en-US" w:eastAsia="zh-CN"/>
        </w:rPr>
      </w:pPr>
      <w:r>
        <w:rPr>
          <w:rStyle w:val="12"/>
          <w:rFonts w:hint="eastAsia" w:ascii="仿宋" w:hAnsi="仿宋" w:eastAsia="仿宋" w:cs="仿宋"/>
          <w:b w:val="0"/>
          <w:color w:val="auto"/>
          <w:sz w:val="32"/>
          <w:szCs w:val="32"/>
        </w:rPr>
        <w:t>搞好项目档案管理工作。项目完成后，要从资金使用、综合效益等方面进行自检、自验，按有关规定收集、整理、归档，完善项目档案并制定档案管理制度。</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该项目制定的实施方案目标任务明确，经费预算科学合理，项目具有可操作性，项目方案有效、可行。</w:t>
      </w:r>
    </w:p>
    <w:p>
      <w:p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（四）预期绩效的可持续性</w:t>
      </w:r>
    </w:p>
    <w:p>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b w:val="0"/>
          <w:bCs w:val="0"/>
          <w:color w:val="auto"/>
          <w:kern w:val="2"/>
          <w:sz w:val="32"/>
          <w:szCs w:val="32"/>
          <w:lang w:val="en-US" w:eastAsia="zh-CN"/>
        </w:rPr>
        <w:t>民丰县</w:t>
      </w:r>
      <w:r>
        <w:rPr>
          <w:rFonts w:hint="eastAsia" w:ascii="仿宋" w:hAnsi="仿宋" w:eastAsia="仿宋" w:cs="仿宋"/>
          <w:color w:val="auto"/>
          <w:sz w:val="32"/>
          <w:szCs w:val="32"/>
          <w:lang w:val="en-US" w:eastAsia="zh-CN"/>
        </w:rPr>
        <w:t>街办、社区、村组织运转经费项目</w:t>
      </w:r>
      <w:r>
        <w:rPr>
          <w:rFonts w:hint="eastAsia" w:ascii="仿宋" w:hAnsi="仿宋" w:eastAsia="仿宋" w:cs="仿宋"/>
          <w:color w:val="auto"/>
          <w:sz w:val="32"/>
          <w:szCs w:val="32"/>
          <w:highlight w:val="none"/>
          <w:lang w:val="en-US" w:eastAsia="zh-CN"/>
        </w:rPr>
        <w:t>经过</w:t>
      </w:r>
      <w:r>
        <w:rPr>
          <w:rFonts w:hint="eastAsia" w:ascii="仿宋" w:hAnsi="仿宋" w:eastAsia="仿宋" w:cs="仿宋"/>
          <w:color w:val="auto"/>
          <w:sz w:val="32"/>
          <w:szCs w:val="32"/>
          <w:lang w:val="en-US" w:eastAsia="zh-CN"/>
        </w:rPr>
        <w:t>街办、社区、村组织举办的活动，对于群众的积极影响是长期、持续的。</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（五）财政资金投入的可行性风险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rPr>
        <w:t>自本项目启动开始，实施单位</w:t>
      </w:r>
      <w:r>
        <w:rPr>
          <w:rStyle w:val="12"/>
          <w:rFonts w:hint="eastAsia" w:ascii="仿宋" w:hAnsi="仿宋" w:eastAsia="仿宋" w:cs="仿宋"/>
          <w:b w:val="0"/>
          <w:color w:val="auto"/>
          <w:sz w:val="32"/>
          <w:szCs w:val="32"/>
          <w:lang w:val="en-US" w:eastAsia="zh-CN"/>
        </w:rPr>
        <w:t>将</w:t>
      </w:r>
      <w:r>
        <w:rPr>
          <w:rStyle w:val="12"/>
          <w:rFonts w:hint="eastAsia" w:ascii="仿宋" w:hAnsi="仿宋" w:eastAsia="仿宋" w:cs="仿宋"/>
          <w:b w:val="0"/>
          <w:color w:val="auto"/>
          <w:sz w:val="32"/>
          <w:szCs w:val="32"/>
        </w:rPr>
        <w:t>严格执行财务会计各项制度、项目资金使用各项制度，严格按照《财政预算资金拨付管理暂行办法》执行</w:t>
      </w:r>
      <w:r>
        <w:rPr>
          <w:rStyle w:val="12"/>
          <w:rFonts w:hint="eastAsia" w:ascii="仿宋" w:hAnsi="仿宋" w:eastAsia="仿宋" w:cs="仿宋"/>
          <w:b w:val="0"/>
          <w:color w:val="auto"/>
          <w:sz w:val="32"/>
          <w:szCs w:val="32"/>
          <w:lang w:eastAsia="zh-CN"/>
        </w:rPr>
        <w:t>。</w:t>
      </w:r>
      <w:r>
        <w:rPr>
          <w:rFonts w:hint="eastAsia" w:ascii="仿宋" w:hAnsi="仿宋" w:eastAsia="仿宋" w:cs="仿宋"/>
          <w:color w:val="auto"/>
          <w:sz w:val="32"/>
          <w:szCs w:val="32"/>
          <w:lang w:val="en-US" w:eastAsia="zh-CN"/>
        </w:rPr>
        <w:t>因此</w:t>
      </w:r>
      <w:r>
        <w:rPr>
          <w:rFonts w:hint="eastAsia" w:ascii="仿宋" w:hAnsi="仿宋" w:eastAsia="仿宋" w:cs="仿宋"/>
          <w:color w:val="auto"/>
          <w:sz w:val="32"/>
          <w:szCs w:val="32"/>
          <w:lang w:eastAsia="zh-CN"/>
        </w:rPr>
        <w:t>不存在财政资金重复投入风险</w:t>
      </w:r>
      <w:r>
        <w:rPr>
          <w:rFonts w:hint="eastAsia" w:ascii="仿宋" w:hAnsi="仿宋" w:eastAsia="仿宋" w:cs="仿宋"/>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四、评估结论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通过对民丰县街办、社区、村组织运转经费项目评估，该项目经费符合自治区相关文件精神，符合民丰县长期发展规划，符合民丰县广大群众需要，可以实施。</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五、评估的相关建议</w:t>
      </w:r>
    </w:p>
    <w:p>
      <w:pPr>
        <w:pStyle w:val="21"/>
        <w:ind w:firstLine="643"/>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绩效目标制订有待精细化</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项目绩效目标包括总目标和阶段分目标，项目绩效目标的制定一般要符合SMART原则，即目标必须是明确的、目标必须是可衡量的、目标必须是可实现的，目标必须与其他目标具有相关性、目标必须有明确的截止期限。</w:t>
      </w:r>
    </w:p>
    <w:p>
      <w:pPr>
        <w:pStyle w:val="21"/>
        <w:ind w:firstLine="643"/>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项目分阶段预算与目标匹配程度有待提升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项目预算的制定应与项目目标相匹配。从项目总体看，项目预算与目标是匹配的。项目预算以项目相应工程量为主要依据，项目目标总体上与城市发展的目标一致。项目预算与项目目标紧密联系，两者在质和量上都是匹配的。从质上看，预算资金的流向与目标指标的设定相一致，即项目各项目标的设定与项目资金预算的结果，项目预算作为一个整体推动项目绩效总体目标的实现，而总体目标的实现又是以预算的合理安排为前提；从量上看，两者的度是相适应的，即预算的金额数充分考虑了项目的工</w:t>
      </w:r>
      <w:r>
        <w:rPr>
          <w:rFonts w:hint="eastAsia" w:ascii="仿宋" w:hAnsi="仿宋" w:eastAsia="仿宋" w:cs="仿宋"/>
          <w:color w:val="auto"/>
          <w:sz w:val="32"/>
          <w:szCs w:val="32"/>
          <w:lang w:val="en-US" w:eastAsia="zh-CN"/>
        </w:rPr>
        <w:t>作</w:t>
      </w:r>
      <w:r>
        <w:rPr>
          <w:rFonts w:hint="eastAsia" w:ascii="仿宋" w:hAnsi="仿宋" w:eastAsia="仿宋" w:cs="仿宋"/>
          <w:color w:val="auto"/>
          <w:sz w:val="32"/>
          <w:szCs w:val="32"/>
          <w:lang w:eastAsia="zh-CN"/>
        </w:rPr>
        <w:t>量。</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六、其他需要说明的问题</w:t>
      </w:r>
    </w:p>
    <w:p>
      <w:pPr>
        <w:pStyle w:val="5"/>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rPr>
        <w:t>民丰县</w:t>
      </w:r>
      <w:r>
        <w:rPr>
          <w:rFonts w:hint="eastAsia" w:ascii="仿宋" w:hAnsi="仿宋" w:eastAsia="仿宋" w:cs="仿宋"/>
          <w:color w:val="auto"/>
          <w:sz w:val="32"/>
          <w:szCs w:val="32"/>
          <w:lang w:val="en-US" w:eastAsia="zh-CN"/>
        </w:rPr>
        <w:t>访惠聚工作队慰问经费项目</w:t>
      </w:r>
      <w:r>
        <w:rPr>
          <w:rFonts w:hint="eastAsia" w:ascii="仿宋" w:hAnsi="仿宋" w:eastAsia="仿宋" w:cs="仿宋"/>
          <w:color w:val="auto"/>
          <w:sz w:val="32"/>
          <w:szCs w:val="32"/>
        </w:rPr>
        <w:t>应充分考虑</w:t>
      </w:r>
      <w:r>
        <w:rPr>
          <w:rFonts w:hint="eastAsia" w:ascii="仿宋" w:hAnsi="仿宋" w:eastAsia="仿宋" w:cs="仿宋"/>
          <w:color w:val="auto"/>
          <w:sz w:val="32"/>
          <w:szCs w:val="32"/>
          <w:lang w:val="en-US" w:eastAsia="zh-CN"/>
        </w:rPr>
        <w:t>周边街办、社区、村组织运转等</w:t>
      </w:r>
      <w:r>
        <w:rPr>
          <w:rFonts w:hint="eastAsia" w:ascii="仿宋" w:hAnsi="仿宋" w:eastAsia="仿宋" w:cs="仿宋"/>
          <w:color w:val="auto"/>
          <w:sz w:val="32"/>
          <w:szCs w:val="32"/>
        </w:rPr>
        <w:t>情况。因此，在预算安排和项目实施时应充分考虑项目历史的影响。</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七、附件</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（一）相关背景及发展规划</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highlight w:val="none"/>
          <w:lang w:val="en-US" w:eastAsia="zh-CN" w:bidi="ar-SA"/>
        </w:rPr>
        <w:t>1、</w:t>
      </w:r>
      <w:r>
        <w:rPr>
          <w:rFonts w:hint="eastAsia" w:ascii="仿宋" w:hAnsi="仿宋" w:eastAsia="仿宋" w:cs="仿宋"/>
          <w:color w:val="auto"/>
          <w:kern w:val="2"/>
          <w:sz w:val="32"/>
          <w:szCs w:val="32"/>
          <w:lang w:val="en-US" w:eastAsia="zh-CN" w:bidi="ar-SA"/>
        </w:rPr>
        <w:t>《关于加强基层服务型党组织建设的意见》（中办发〔2014〕6号）；</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640" w:firstLineChars="2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2、单位职责：</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624" w:firstLineChars="200"/>
        <w:jc w:val="both"/>
        <w:textAlignment w:val="auto"/>
        <w:outlineLvl w:val="9"/>
        <w:rPr>
          <w:rStyle w:val="12"/>
          <w:rFonts w:hint="eastAsia" w:ascii="仿宋" w:hAnsi="仿宋" w:eastAsia="仿宋" w:cs="仿宋"/>
          <w:b w:val="0"/>
          <w:color w:val="auto"/>
          <w:spacing w:val="-4"/>
          <w:sz w:val="32"/>
          <w:szCs w:val="32"/>
          <w:highlight w:val="none"/>
          <w:lang w:val="en-US" w:eastAsia="zh-CN"/>
        </w:rPr>
      </w:pPr>
      <w:r>
        <w:rPr>
          <w:rStyle w:val="12"/>
          <w:rFonts w:hint="eastAsia" w:ascii="仿宋" w:hAnsi="仿宋" w:eastAsia="仿宋" w:cs="仿宋"/>
          <w:b w:val="0"/>
          <w:color w:val="auto"/>
          <w:spacing w:val="-4"/>
          <w:sz w:val="32"/>
          <w:szCs w:val="32"/>
          <w:highlight w:val="none"/>
          <w:lang w:val="en-US" w:eastAsia="zh-CN"/>
        </w:rPr>
        <w:t>民丰县委组织部属于行政机关，下设8个科室，分别是：编办、基层办、绩效考核办、访惠聚办、远程办、干部室、财务室、组织室。</w:t>
      </w:r>
      <w:r>
        <w:rPr>
          <w:rFonts w:hint="eastAsia" w:ascii="仿宋" w:hAnsi="仿宋" w:eastAsia="仿宋" w:cs="仿宋"/>
          <w:color w:val="auto"/>
          <w:kern w:val="2"/>
          <w:sz w:val="32"/>
          <w:szCs w:val="32"/>
          <w:lang w:val="en-US" w:eastAsia="zh-CN" w:bidi="ar-SA"/>
        </w:rPr>
        <w:t>中共民丰县委员会组织部主要负责以下工作: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val="0"/>
          <w:bCs w:val="0"/>
          <w:color w:val="auto"/>
          <w:kern w:val="2"/>
          <w:sz w:val="32"/>
          <w:szCs w:val="32"/>
          <w:lang w:val="en-US" w:eastAsia="zh-CN" w:bidi="ar-SA"/>
        </w:rPr>
      </w:pPr>
      <w:r>
        <w:rPr>
          <w:rStyle w:val="12"/>
          <w:rFonts w:hint="eastAsia" w:ascii="仿宋" w:hAnsi="仿宋" w:eastAsia="仿宋" w:cs="仿宋"/>
          <w:b w:val="0"/>
          <w:color w:val="auto"/>
          <w:spacing w:val="-4"/>
          <w:sz w:val="32"/>
          <w:szCs w:val="32"/>
          <w:highlight w:val="none"/>
          <w:lang w:val="en-US" w:eastAsia="zh-CN"/>
        </w:rPr>
        <w:t>（1）</w:t>
      </w:r>
      <w:r>
        <w:rPr>
          <w:rStyle w:val="12"/>
          <w:rFonts w:hint="eastAsia" w:ascii="仿宋" w:hAnsi="仿宋" w:eastAsia="仿宋" w:cs="仿宋"/>
          <w:b w:val="0"/>
          <w:color w:val="auto"/>
          <w:spacing w:val="-4"/>
          <w:kern w:val="2"/>
          <w:sz w:val="32"/>
          <w:szCs w:val="32"/>
          <w:highlight w:val="none"/>
          <w:lang w:val="en-US" w:eastAsia="zh-CN" w:bidi="ar-SA"/>
        </w:rPr>
        <w:t>负责党的组织制度建设，基层组织和党员队伍建设，负责党的建设和组织工作研究指导、协调全县组织系统的调研工作，组织部内和组织系统重点课题调研和研讨交流活动。会同有关方面对贯彻执行民主集中制情况进行督促检查，对乡镇党委和全县基层党组织换届选举、贯彻党委(党组)工作制度和民主生活会进行指导，负责村(社区)基层组织建设工作</w:t>
      </w:r>
      <w:r>
        <w:rPr>
          <w:rFonts w:hint="eastAsia" w:ascii="仿宋" w:hAnsi="仿宋" w:eastAsia="仿宋" w:cs="仿宋"/>
          <w:b w:val="0"/>
          <w:bCs w:val="0"/>
          <w:color w:val="auto"/>
          <w:kern w:val="2"/>
          <w:sz w:val="32"/>
          <w:szCs w:val="32"/>
          <w:lang w:val="en-US" w:eastAsia="zh-CN" w:bidi="ar-SA"/>
        </w:rPr>
        <w:t>的政策研究和宏观指导，提出加强改进的措施。负责贯彻落实非公有制经济组织、社会组织、派驻内地民丰籍人员服务管理工作组等新兴组织党建工作的政策研究和宏观指导，提出加强改进的措施，负责党费管理，承担组工信息撰写、上报工作。</w:t>
      </w:r>
    </w:p>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val="0"/>
          <w:bCs w:val="0"/>
          <w:color w:val="auto"/>
          <w:kern w:val="2"/>
          <w:sz w:val="32"/>
          <w:szCs w:val="32"/>
          <w:lang w:val="en-US" w:eastAsia="zh-CN" w:bidi="ar-SA"/>
        </w:rPr>
        <w:t>(2)负责干部教育培训、挂职工作。研究制定全县干部教育培调工作政策、规划，指导、检查、协调乡镇(街道)、部门单位干部教育培训工作;组织、协调县委管理干部、年轻干部、组织系统干部，以及机关公务员、企业领导人员、事业单位领导人员、专业技术人员、基层干部教育培训;指导、开展双语示范培训，挂职培训、网络(视频)培训;指导做好干部教育培训基地:建设、师资队伍建设、教材编写、培训经费管理使用、干部教育培训信息库建设;组织、指导干部教育培训研究;指导、开展国家通用语言培训。</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（二）立项申请材料</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w:t>
      </w:r>
      <w:r>
        <w:rPr>
          <w:rFonts w:hint="eastAsia" w:ascii="仿宋" w:hAnsi="仿宋" w:eastAsia="仿宋" w:cs="仿宋"/>
          <w:color w:val="auto"/>
          <w:sz w:val="32"/>
          <w:szCs w:val="32"/>
          <w:lang w:val="en-US" w:eastAsia="zh-CN"/>
        </w:rPr>
        <w:t>民丰县街办、社区、村组织工作</w:t>
      </w:r>
      <w:r>
        <w:rPr>
          <w:rFonts w:hint="eastAsia" w:ascii="仿宋" w:hAnsi="仿宋" w:eastAsia="仿宋" w:cs="仿宋"/>
          <w:b w:val="0"/>
          <w:bCs w:val="0"/>
          <w:color w:val="auto"/>
          <w:spacing w:val="0"/>
          <w:kern w:val="0"/>
          <w:sz w:val="32"/>
          <w:szCs w:val="32"/>
          <w:lang w:val="en-US" w:eastAsia="zh-CN"/>
        </w:rPr>
        <w:t>方案</w:t>
      </w:r>
      <w:r>
        <w:rPr>
          <w:rFonts w:hint="eastAsia" w:ascii="仿宋" w:hAnsi="仿宋" w:eastAsia="仿宋" w:cs="仿宋"/>
          <w:color w:val="auto"/>
          <w:kern w:val="2"/>
          <w:sz w:val="32"/>
          <w:szCs w:val="32"/>
          <w:lang w:val="en-US" w:eastAsia="zh-CN" w:bidi="ar-SA"/>
        </w:rPr>
        <w:t>》</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三</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预算申请材料</w:t>
      </w:r>
    </w:p>
    <w:p>
      <w:pPr>
        <w:pStyle w:val="5"/>
        <w:ind w:left="0" w:leftChars="0" w:firstLine="640" w:firstLineChars="200"/>
        <w:rPr>
          <w:rFonts w:hint="eastAsia" w:ascii="仿宋" w:hAnsi="仿宋" w:eastAsia="仿宋" w:cs="仿宋"/>
          <w:color w:val="auto"/>
          <w:sz w:val="32"/>
          <w:szCs w:val="32"/>
        </w:rPr>
      </w:pPr>
      <w:r>
        <w:rPr>
          <w:rFonts w:hint="eastAsia" w:ascii="仿宋" w:hAnsi="仿宋" w:eastAsia="仿宋" w:cs="仿宋"/>
          <w:b w:val="0"/>
          <w:bCs w:val="0"/>
          <w:color w:val="auto"/>
          <w:kern w:val="2"/>
          <w:sz w:val="32"/>
          <w:szCs w:val="32"/>
          <w:lang w:val="en-US" w:eastAsia="zh-CN"/>
        </w:rPr>
        <w:t>民丰县</w:t>
      </w:r>
      <w:r>
        <w:rPr>
          <w:rFonts w:hint="eastAsia" w:ascii="仿宋" w:hAnsi="仿宋" w:eastAsia="仿宋" w:cs="仿宋"/>
          <w:color w:val="auto"/>
          <w:sz w:val="32"/>
          <w:szCs w:val="32"/>
          <w:lang w:val="en-US" w:eastAsia="zh-CN"/>
        </w:rPr>
        <w:t>街办、社区、村组织运转经费项目</w:t>
      </w:r>
      <w:r>
        <w:rPr>
          <w:rFonts w:hint="eastAsia" w:ascii="仿宋" w:hAnsi="仿宋" w:eastAsia="仿宋" w:cs="仿宋"/>
          <w:color w:val="auto"/>
          <w:kern w:val="2"/>
          <w:sz w:val="32"/>
          <w:szCs w:val="32"/>
          <w:lang w:eastAsia="zh-CN"/>
        </w:rPr>
        <w:t>预算明细表</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color w:val="auto"/>
          <w:kern w:val="0"/>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四</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相关管理制度</w:t>
      </w:r>
    </w:p>
    <w:p>
      <w:pPr>
        <w:pStyle w:val="2"/>
        <w:ind w:left="0" w:leftChars="0" w:firstLine="640" w:firstLineChars="200"/>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《财政预算资金拨付管理暂行办法》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中共民丰县委员会组织部</w:t>
      </w:r>
      <w:r>
        <w:rPr>
          <w:rFonts w:hint="eastAsia" w:ascii="仿宋" w:hAnsi="仿宋" w:eastAsia="仿宋" w:cs="仿宋"/>
          <w:color w:val="auto"/>
          <w:sz w:val="32"/>
          <w:szCs w:val="32"/>
        </w:rPr>
        <w:t>财务制度》</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中共民丰县委员会组织部</w:t>
      </w:r>
      <w:r>
        <w:rPr>
          <w:rFonts w:hint="eastAsia" w:ascii="仿宋" w:hAnsi="仿宋" w:eastAsia="仿宋" w:cs="仿宋"/>
          <w:color w:val="auto"/>
          <w:sz w:val="32"/>
          <w:szCs w:val="32"/>
        </w:rPr>
        <w:t>项目管理制度》</w:t>
      </w:r>
    </w:p>
    <w:p>
      <w:pPr>
        <w:pStyle w:val="2"/>
        <w:ind w:left="0" w:leftChars="0"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五</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其他材料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960" w:firstLineChars="3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auto"/>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68A044"/>
    <w:multiLevelType w:val="singleLevel"/>
    <w:tmpl w:val="E668A044"/>
    <w:lvl w:ilvl="0" w:tentative="0">
      <w:start w:val="4"/>
      <w:numFmt w:val="chineseCounting"/>
      <w:suff w:val="nothing"/>
      <w:lvlText w:val="（%1）"/>
      <w:lvlJc w:val="left"/>
      <w:rPr>
        <w:rFonts w:hint="eastAsia"/>
      </w:rPr>
    </w:lvl>
  </w:abstractNum>
  <w:abstractNum w:abstractNumId="1">
    <w:nsid w:val="FF5B10F2"/>
    <w:multiLevelType w:val="singleLevel"/>
    <w:tmpl w:val="FF5B10F2"/>
    <w:lvl w:ilvl="0" w:tentative="0">
      <w:start w:val="1"/>
      <w:numFmt w:val="decimal"/>
      <w:suff w:val="nothing"/>
      <w:lvlText w:val="（%1）"/>
      <w:lvlJc w:val="left"/>
    </w:lvl>
  </w:abstractNum>
  <w:abstractNum w:abstractNumId="2">
    <w:nsid w:val="5DB816CF"/>
    <w:multiLevelType w:val="singleLevel"/>
    <w:tmpl w:val="5DB816CF"/>
    <w:lvl w:ilvl="0" w:tentative="0">
      <w:start w:val="3"/>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B6478"/>
    <w:rsid w:val="000D7611"/>
    <w:rsid w:val="00397AF4"/>
    <w:rsid w:val="00465207"/>
    <w:rsid w:val="007807C2"/>
    <w:rsid w:val="007E3496"/>
    <w:rsid w:val="009121D1"/>
    <w:rsid w:val="00F11E6D"/>
    <w:rsid w:val="01054869"/>
    <w:rsid w:val="013E0208"/>
    <w:rsid w:val="01474279"/>
    <w:rsid w:val="015D6FAE"/>
    <w:rsid w:val="018D3C1F"/>
    <w:rsid w:val="020E2A38"/>
    <w:rsid w:val="023B6478"/>
    <w:rsid w:val="02441943"/>
    <w:rsid w:val="029A0A2C"/>
    <w:rsid w:val="02D053DF"/>
    <w:rsid w:val="03316484"/>
    <w:rsid w:val="043A0A68"/>
    <w:rsid w:val="048248A9"/>
    <w:rsid w:val="04F66797"/>
    <w:rsid w:val="051D5A53"/>
    <w:rsid w:val="05453501"/>
    <w:rsid w:val="056370A6"/>
    <w:rsid w:val="05F91C1D"/>
    <w:rsid w:val="0624262D"/>
    <w:rsid w:val="062F0312"/>
    <w:rsid w:val="06C5743D"/>
    <w:rsid w:val="079078C4"/>
    <w:rsid w:val="079F75B2"/>
    <w:rsid w:val="081D2AE1"/>
    <w:rsid w:val="084B2109"/>
    <w:rsid w:val="08D9103A"/>
    <w:rsid w:val="093443BE"/>
    <w:rsid w:val="09855E39"/>
    <w:rsid w:val="09A9167B"/>
    <w:rsid w:val="09AE1863"/>
    <w:rsid w:val="09B87218"/>
    <w:rsid w:val="09BB4B33"/>
    <w:rsid w:val="0A2A388C"/>
    <w:rsid w:val="0ACC2E1B"/>
    <w:rsid w:val="0B1A2168"/>
    <w:rsid w:val="0BEF7BAC"/>
    <w:rsid w:val="0C0B76CB"/>
    <w:rsid w:val="0C1408A2"/>
    <w:rsid w:val="0C5D450C"/>
    <w:rsid w:val="0C736DF4"/>
    <w:rsid w:val="0CD97160"/>
    <w:rsid w:val="0D1A4048"/>
    <w:rsid w:val="0D4379FD"/>
    <w:rsid w:val="0D735489"/>
    <w:rsid w:val="0D871459"/>
    <w:rsid w:val="0E1136FA"/>
    <w:rsid w:val="0E1F7EE3"/>
    <w:rsid w:val="0E412BEA"/>
    <w:rsid w:val="0E5C4623"/>
    <w:rsid w:val="0E6E1D7A"/>
    <w:rsid w:val="0ED04C40"/>
    <w:rsid w:val="0F3F0A88"/>
    <w:rsid w:val="0F9C2846"/>
    <w:rsid w:val="0FA56207"/>
    <w:rsid w:val="0FD659DE"/>
    <w:rsid w:val="0FED7C80"/>
    <w:rsid w:val="100E4185"/>
    <w:rsid w:val="101C44CA"/>
    <w:rsid w:val="108E1F4B"/>
    <w:rsid w:val="10E66A06"/>
    <w:rsid w:val="11391CC3"/>
    <w:rsid w:val="116A39F3"/>
    <w:rsid w:val="11E62032"/>
    <w:rsid w:val="124475C0"/>
    <w:rsid w:val="127D22E8"/>
    <w:rsid w:val="12B10B1A"/>
    <w:rsid w:val="12E74AA5"/>
    <w:rsid w:val="13236DB9"/>
    <w:rsid w:val="133A7289"/>
    <w:rsid w:val="143C2425"/>
    <w:rsid w:val="145B7920"/>
    <w:rsid w:val="14AC247C"/>
    <w:rsid w:val="14E8318A"/>
    <w:rsid w:val="15953456"/>
    <w:rsid w:val="15980F03"/>
    <w:rsid w:val="15C50BAE"/>
    <w:rsid w:val="15CD78A6"/>
    <w:rsid w:val="171A0E2E"/>
    <w:rsid w:val="177E0220"/>
    <w:rsid w:val="17DA7A45"/>
    <w:rsid w:val="18A5269F"/>
    <w:rsid w:val="18C5724C"/>
    <w:rsid w:val="19BD0569"/>
    <w:rsid w:val="19C53504"/>
    <w:rsid w:val="19FC7DC3"/>
    <w:rsid w:val="1A2069B5"/>
    <w:rsid w:val="1A3F4E5A"/>
    <w:rsid w:val="1AF2441A"/>
    <w:rsid w:val="1AFD7E1D"/>
    <w:rsid w:val="1B0D3F59"/>
    <w:rsid w:val="1B66677F"/>
    <w:rsid w:val="1BF86A46"/>
    <w:rsid w:val="1C5822F6"/>
    <w:rsid w:val="1C675967"/>
    <w:rsid w:val="1C6D6F94"/>
    <w:rsid w:val="1C90583C"/>
    <w:rsid w:val="1CDC3433"/>
    <w:rsid w:val="1D2A2BC3"/>
    <w:rsid w:val="1D6337F7"/>
    <w:rsid w:val="1D8071C9"/>
    <w:rsid w:val="1D811C8B"/>
    <w:rsid w:val="1DC55B79"/>
    <w:rsid w:val="1DCD0432"/>
    <w:rsid w:val="1E7E35C2"/>
    <w:rsid w:val="1FE83678"/>
    <w:rsid w:val="201662C5"/>
    <w:rsid w:val="20311205"/>
    <w:rsid w:val="20397AF8"/>
    <w:rsid w:val="20764F86"/>
    <w:rsid w:val="20C74BE2"/>
    <w:rsid w:val="20DE327E"/>
    <w:rsid w:val="20F23CAF"/>
    <w:rsid w:val="21393877"/>
    <w:rsid w:val="21473D45"/>
    <w:rsid w:val="21E97E9F"/>
    <w:rsid w:val="21F9537E"/>
    <w:rsid w:val="2266313A"/>
    <w:rsid w:val="22F02F92"/>
    <w:rsid w:val="233317E1"/>
    <w:rsid w:val="238E08B1"/>
    <w:rsid w:val="24032071"/>
    <w:rsid w:val="243B7DDA"/>
    <w:rsid w:val="243F6E75"/>
    <w:rsid w:val="244664A7"/>
    <w:rsid w:val="249B2350"/>
    <w:rsid w:val="25B440FD"/>
    <w:rsid w:val="25D91A6E"/>
    <w:rsid w:val="25E556FF"/>
    <w:rsid w:val="267601BD"/>
    <w:rsid w:val="26901D18"/>
    <w:rsid w:val="26E240B6"/>
    <w:rsid w:val="277942F2"/>
    <w:rsid w:val="28361A5A"/>
    <w:rsid w:val="284B623A"/>
    <w:rsid w:val="28C33948"/>
    <w:rsid w:val="28D01E46"/>
    <w:rsid w:val="29BC098F"/>
    <w:rsid w:val="2A5461A7"/>
    <w:rsid w:val="2A656172"/>
    <w:rsid w:val="2AF50BFD"/>
    <w:rsid w:val="2B39119E"/>
    <w:rsid w:val="2B650AF2"/>
    <w:rsid w:val="2B971008"/>
    <w:rsid w:val="2BA471FF"/>
    <w:rsid w:val="2BC66837"/>
    <w:rsid w:val="2C0E7826"/>
    <w:rsid w:val="2C2D141C"/>
    <w:rsid w:val="2DF15DFD"/>
    <w:rsid w:val="2DF9711E"/>
    <w:rsid w:val="2E0C5F32"/>
    <w:rsid w:val="2E413A5C"/>
    <w:rsid w:val="2E5D589A"/>
    <w:rsid w:val="2ECC2D36"/>
    <w:rsid w:val="2F3F2C9B"/>
    <w:rsid w:val="2F5D13E8"/>
    <w:rsid w:val="2F976B05"/>
    <w:rsid w:val="2FAE2071"/>
    <w:rsid w:val="2FFA6DE3"/>
    <w:rsid w:val="305119C6"/>
    <w:rsid w:val="30834838"/>
    <w:rsid w:val="30D20C3D"/>
    <w:rsid w:val="316005CA"/>
    <w:rsid w:val="31BA1F08"/>
    <w:rsid w:val="31BF65A1"/>
    <w:rsid w:val="31F54E76"/>
    <w:rsid w:val="337A0897"/>
    <w:rsid w:val="33B456FA"/>
    <w:rsid w:val="34070494"/>
    <w:rsid w:val="34085CD3"/>
    <w:rsid w:val="34F125F4"/>
    <w:rsid w:val="34FB2401"/>
    <w:rsid w:val="35062951"/>
    <w:rsid w:val="361F00E6"/>
    <w:rsid w:val="36494625"/>
    <w:rsid w:val="364C3CCF"/>
    <w:rsid w:val="367C61D6"/>
    <w:rsid w:val="3700231F"/>
    <w:rsid w:val="37314123"/>
    <w:rsid w:val="37535DB9"/>
    <w:rsid w:val="376626F1"/>
    <w:rsid w:val="3773532D"/>
    <w:rsid w:val="37F05A02"/>
    <w:rsid w:val="392F6990"/>
    <w:rsid w:val="39516C4E"/>
    <w:rsid w:val="39E41117"/>
    <w:rsid w:val="3A1E5BAB"/>
    <w:rsid w:val="3A3C7EEF"/>
    <w:rsid w:val="3A721A6F"/>
    <w:rsid w:val="3A8C361B"/>
    <w:rsid w:val="3AD1374D"/>
    <w:rsid w:val="3AD509EE"/>
    <w:rsid w:val="3B1C0595"/>
    <w:rsid w:val="3B2C53E9"/>
    <w:rsid w:val="3B4A7EBC"/>
    <w:rsid w:val="3B6F178F"/>
    <w:rsid w:val="3B7A677E"/>
    <w:rsid w:val="3B842124"/>
    <w:rsid w:val="3C482A47"/>
    <w:rsid w:val="3C484CE8"/>
    <w:rsid w:val="3C8E3EE0"/>
    <w:rsid w:val="3D025608"/>
    <w:rsid w:val="3D2730D3"/>
    <w:rsid w:val="3DEA7368"/>
    <w:rsid w:val="3E722AE1"/>
    <w:rsid w:val="3E975F6D"/>
    <w:rsid w:val="3ECE6B68"/>
    <w:rsid w:val="3F390902"/>
    <w:rsid w:val="3F79053B"/>
    <w:rsid w:val="3FE117F2"/>
    <w:rsid w:val="40736A77"/>
    <w:rsid w:val="409D3644"/>
    <w:rsid w:val="40CD3266"/>
    <w:rsid w:val="412F4064"/>
    <w:rsid w:val="41C8702B"/>
    <w:rsid w:val="423C34A3"/>
    <w:rsid w:val="423F3E14"/>
    <w:rsid w:val="42D3318F"/>
    <w:rsid w:val="434B464C"/>
    <w:rsid w:val="43BD20C6"/>
    <w:rsid w:val="43EB4276"/>
    <w:rsid w:val="441253AF"/>
    <w:rsid w:val="444326E7"/>
    <w:rsid w:val="456D7650"/>
    <w:rsid w:val="469F374B"/>
    <w:rsid w:val="46A07351"/>
    <w:rsid w:val="46B03C17"/>
    <w:rsid w:val="46B82D4C"/>
    <w:rsid w:val="46D41550"/>
    <w:rsid w:val="472A270B"/>
    <w:rsid w:val="475E0DDB"/>
    <w:rsid w:val="476C6DBC"/>
    <w:rsid w:val="47EA0B06"/>
    <w:rsid w:val="47F64860"/>
    <w:rsid w:val="48456F93"/>
    <w:rsid w:val="485A270D"/>
    <w:rsid w:val="48820632"/>
    <w:rsid w:val="48CC2F48"/>
    <w:rsid w:val="48FC00D6"/>
    <w:rsid w:val="49A11CAE"/>
    <w:rsid w:val="4A4A53F5"/>
    <w:rsid w:val="4A66296B"/>
    <w:rsid w:val="4AED6187"/>
    <w:rsid w:val="4B0B6050"/>
    <w:rsid w:val="4B284138"/>
    <w:rsid w:val="4C0D65B0"/>
    <w:rsid w:val="4C2412AA"/>
    <w:rsid w:val="4C404649"/>
    <w:rsid w:val="4C665EA0"/>
    <w:rsid w:val="4C7752A4"/>
    <w:rsid w:val="4D301742"/>
    <w:rsid w:val="4D841A4B"/>
    <w:rsid w:val="4D9D7F5D"/>
    <w:rsid w:val="4E0C1C90"/>
    <w:rsid w:val="4E360A1B"/>
    <w:rsid w:val="4FB47F8D"/>
    <w:rsid w:val="502F050E"/>
    <w:rsid w:val="50B36A43"/>
    <w:rsid w:val="515D203B"/>
    <w:rsid w:val="51731038"/>
    <w:rsid w:val="517E2E87"/>
    <w:rsid w:val="519F5585"/>
    <w:rsid w:val="51DA507E"/>
    <w:rsid w:val="52584400"/>
    <w:rsid w:val="528D5F6D"/>
    <w:rsid w:val="529F3AC9"/>
    <w:rsid w:val="52B25F78"/>
    <w:rsid w:val="52B773DA"/>
    <w:rsid w:val="52BB3184"/>
    <w:rsid w:val="53980E8A"/>
    <w:rsid w:val="539A0105"/>
    <w:rsid w:val="53A065BD"/>
    <w:rsid w:val="53AD7A19"/>
    <w:rsid w:val="546A1E8D"/>
    <w:rsid w:val="547D4F88"/>
    <w:rsid w:val="54883071"/>
    <w:rsid w:val="54AA2DFE"/>
    <w:rsid w:val="55004D62"/>
    <w:rsid w:val="55223FAD"/>
    <w:rsid w:val="5529221D"/>
    <w:rsid w:val="55E91885"/>
    <w:rsid w:val="56EE5C96"/>
    <w:rsid w:val="56F42115"/>
    <w:rsid w:val="572267AA"/>
    <w:rsid w:val="57652D51"/>
    <w:rsid w:val="58A83203"/>
    <w:rsid w:val="58CF5D32"/>
    <w:rsid w:val="58D7335B"/>
    <w:rsid w:val="58FD4E82"/>
    <w:rsid w:val="593E7BB8"/>
    <w:rsid w:val="59402FE3"/>
    <w:rsid w:val="59B53DEC"/>
    <w:rsid w:val="5A1E3FB0"/>
    <w:rsid w:val="5A47403B"/>
    <w:rsid w:val="5AB526C9"/>
    <w:rsid w:val="5AB82A9D"/>
    <w:rsid w:val="5B1954BB"/>
    <w:rsid w:val="5BD50319"/>
    <w:rsid w:val="5CEA0284"/>
    <w:rsid w:val="5D05727C"/>
    <w:rsid w:val="5D365CAA"/>
    <w:rsid w:val="5D4E431E"/>
    <w:rsid w:val="5DC80798"/>
    <w:rsid w:val="5E0A6E1D"/>
    <w:rsid w:val="5ECD572D"/>
    <w:rsid w:val="5EF920F0"/>
    <w:rsid w:val="5F0A79ED"/>
    <w:rsid w:val="5F2C5D2B"/>
    <w:rsid w:val="5F9D2CE0"/>
    <w:rsid w:val="5FA52ED3"/>
    <w:rsid w:val="607A1F3D"/>
    <w:rsid w:val="608C05CF"/>
    <w:rsid w:val="60991858"/>
    <w:rsid w:val="618D3A69"/>
    <w:rsid w:val="619E41FB"/>
    <w:rsid w:val="61B65781"/>
    <w:rsid w:val="62136EA9"/>
    <w:rsid w:val="624A5550"/>
    <w:rsid w:val="62711DF8"/>
    <w:rsid w:val="62AC048E"/>
    <w:rsid w:val="62C428CB"/>
    <w:rsid w:val="63232D81"/>
    <w:rsid w:val="63525110"/>
    <w:rsid w:val="638626D9"/>
    <w:rsid w:val="64146336"/>
    <w:rsid w:val="642C6C5F"/>
    <w:rsid w:val="642E1B9A"/>
    <w:rsid w:val="64FD51A7"/>
    <w:rsid w:val="65585550"/>
    <w:rsid w:val="657610B9"/>
    <w:rsid w:val="65A77252"/>
    <w:rsid w:val="66FD2275"/>
    <w:rsid w:val="67097119"/>
    <w:rsid w:val="67CE7B9F"/>
    <w:rsid w:val="683D167D"/>
    <w:rsid w:val="68BB6E64"/>
    <w:rsid w:val="68CB47DE"/>
    <w:rsid w:val="696D62E0"/>
    <w:rsid w:val="6B7F6CDF"/>
    <w:rsid w:val="6B9A1DFE"/>
    <w:rsid w:val="6BBC7F29"/>
    <w:rsid w:val="6BBF063B"/>
    <w:rsid w:val="6BF3323E"/>
    <w:rsid w:val="6C4C768B"/>
    <w:rsid w:val="6CE27501"/>
    <w:rsid w:val="6DE328D8"/>
    <w:rsid w:val="6E361EA1"/>
    <w:rsid w:val="6EB524BB"/>
    <w:rsid w:val="6ECF2E60"/>
    <w:rsid w:val="6F493024"/>
    <w:rsid w:val="6F5535E5"/>
    <w:rsid w:val="6F7A2C81"/>
    <w:rsid w:val="6F7E3958"/>
    <w:rsid w:val="6FBD6F92"/>
    <w:rsid w:val="6FFC34E0"/>
    <w:rsid w:val="700B24AF"/>
    <w:rsid w:val="70277C83"/>
    <w:rsid w:val="70334A57"/>
    <w:rsid w:val="70651092"/>
    <w:rsid w:val="708A1B58"/>
    <w:rsid w:val="711733E9"/>
    <w:rsid w:val="71582C5C"/>
    <w:rsid w:val="71A9184B"/>
    <w:rsid w:val="71AD2A02"/>
    <w:rsid w:val="74175983"/>
    <w:rsid w:val="74270529"/>
    <w:rsid w:val="74992165"/>
    <w:rsid w:val="757C10DA"/>
    <w:rsid w:val="759A6C8C"/>
    <w:rsid w:val="75E35B61"/>
    <w:rsid w:val="762E14C6"/>
    <w:rsid w:val="76337E79"/>
    <w:rsid w:val="76C2766E"/>
    <w:rsid w:val="785A1719"/>
    <w:rsid w:val="78831055"/>
    <w:rsid w:val="796B059F"/>
    <w:rsid w:val="79BA1933"/>
    <w:rsid w:val="7A004C20"/>
    <w:rsid w:val="7A5E439F"/>
    <w:rsid w:val="7A9167AD"/>
    <w:rsid w:val="7BE658AD"/>
    <w:rsid w:val="7BF35895"/>
    <w:rsid w:val="7C8A5DAD"/>
    <w:rsid w:val="7C9C02C4"/>
    <w:rsid w:val="7CC12792"/>
    <w:rsid w:val="7CFF3C32"/>
    <w:rsid w:val="7E2A6714"/>
    <w:rsid w:val="7E485964"/>
    <w:rsid w:val="7EF84129"/>
    <w:rsid w:val="7F286B17"/>
    <w:rsid w:val="7F7419EF"/>
    <w:rsid w:val="7FBB5D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600" w:lineRule="exact"/>
      <w:ind w:firstLine="627" w:firstLineChars="200"/>
      <w:outlineLvl w:val="0"/>
    </w:pPr>
    <w:rPr>
      <w:rFonts w:ascii="Calibri" w:hAnsi="Calibri" w:eastAsia="楷体" w:cs="Times New Roman"/>
      <w:b/>
      <w:kern w:val="44"/>
    </w:rPr>
  </w:style>
  <w:style w:type="paragraph" w:styleId="3">
    <w:name w:val="heading 3"/>
    <w:basedOn w:val="1"/>
    <w:next w:val="1"/>
    <w:qFormat/>
    <w:uiPriority w:val="99"/>
    <w:pPr>
      <w:keepNext/>
      <w:widowControl/>
      <w:spacing w:after="0" w:afterLines="0"/>
      <w:ind w:firstLine="0" w:firstLineChars="0"/>
      <w:jc w:val="left"/>
      <w:outlineLvl w:val="2"/>
    </w:pPr>
    <w:rPr>
      <w:b/>
      <w:bCs/>
      <w:kern w:val="0"/>
      <w:szCs w:val="26"/>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Body Text"/>
    <w:basedOn w:val="1"/>
    <w:next w:val="5"/>
    <w:qFormat/>
    <w:uiPriority w:val="0"/>
    <w:pPr>
      <w:spacing w:after="120" w:afterLines="0" w:afterAutospacing="0"/>
    </w:pPr>
  </w:style>
  <w:style w:type="paragraph" w:styleId="5">
    <w:name w:val="Body Text First Indent"/>
    <w:basedOn w:val="4"/>
    <w:qFormat/>
    <w:uiPriority w:val="0"/>
    <w:pPr>
      <w:ind w:firstLine="420" w:firstLineChars="100"/>
    </w:pPr>
  </w:style>
  <w:style w:type="paragraph" w:styleId="6">
    <w:name w:val="Plain Text"/>
    <w:basedOn w:val="1"/>
    <w:unhideWhenUsed/>
    <w:qFormat/>
    <w:uiPriority w:val="0"/>
    <w:rPr>
      <w:rFonts w:ascii="宋体" w:hAnsi="Courier New" w:cs="Courier New"/>
      <w:szCs w:val="21"/>
    </w:rPr>
  </w:style>
  <w:style w:type="paragraph" w:styleId="7">
    <w:name w:val="footer"/>
    <w:basedOn w:val="1"/>
    <w:link w:val="17"/>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bCs/>
    </w:rPr>
  </w:style>
  <w:style w:type="character" w:styleId="13">
    <w:name w:val="FollowedHyperlink"/>
    <w:basedOn w:val="11"/>
    <w:qFormat/>
    <w:uiPriority w:val="0"/>
    <w:rPr>
      <w:color w:val="800080"/>
      <w:u w:val="none"/>
    </w:rPr>
  </w:style>
  <w:style w:type="character" w:styleId="14">
    <w:name w:val="Emphasis"/>
    <w:basedOn w:val="11"/>
    <w:qFormat/>
    <w:uiPriority w:val="0"/>
    <w:rPr>
      <w:i/>
    </w:rPr>
  </w:style>
  <w:style w:type="character" w:styleId="15">
    <w:name w:val="Hyperlink"/>
    <w:basedOn w:val="11"/>
    <w:qFormat/>
    <w:uiPriority w:val="0"/>
    <w:rPr>
      <w:color w:val="0000FF"/>
      <w:u w:val="single"/>
    </w:rPr>
  </w:style>
  <w:style w:type="character" w:customStyle="1" w:styleId="16">
    <w:name w:val="页眉 Char"/>
    <w:basedOn w:val="11"/>
    <w:link w:val="8"/>
    <w:qFormat/>
    <w:uiPriority w:val="0"/>
    <w:rPr>
      <w:kern w:val="2"/>
      <w:sz w:val="18"/>
      <w:szCs w:val="18"/>
    </w:rPr>
  </w:style>
  <w:style w:type="character" w:customStyle="1" w:styleId="17">
    <w:name w:val="页脚 Char"/>
    <w:basedOn w:val="11"/>
    <w:link w:val="7"/>
    <w:qFormat/>
    <w:uiPriority w:val="0"/>
    <w:rPr>
      <w:kern w:val="2"/>
      <w:sz w:val="18"/>
      <w:szCs w:val="18"/>
    </w:rPr>
  </w:style>
  <w:style w:type="paragraph" w:customStyle="1" w:styleId="18">
    <w:name w:val="p0"/>
    <w:basedOn w:val="1"/>
    <w:qFormat/>
    <w:uiPriority w:val="0"/>
    <w:pPr>
      <w:widowControl/>
    </w:pPr>
    <w:rPr>
      <w:rFonts w:ascii="Calibri" w:hAnsi="Calibri" w:eastAsia="宋体" w:cs="宋体"/>
      <w:kern w:val="0"/>
      <w:szCs w:val="21"/>
    </w:rPr>
  </w:style>
  <w:style w:type="paragraph" w:customStyle="1" w:styleId="19">
    <w:name w:val="闻政正文"/>
    <w:basedOn w:val="1"/>
    <w:link w:val="24"/>
    <w:qFormat/>
    <w:uiPriority w:val="0"/>
    <w:pPr>
      <w:spacing w:line="500" w:lineRule="exact"/>
      <w:ind w:firstLine="560"/>
    </w:pPr>
    <w:rPr>
      <w:rFonts w:hint="default" w:ascii="Times New Roman" w:hAnsi="Times New Roman" w:eastAsia="仿宋_GB2312" w:cstheme="minorBidi"/>
      <w:szCs w:val="28"/>
    </w:rPr>
  </w:style>
  <w:style w:type="paragraph" w:customStyle="1" w:styleId="20">
    <w:name w:val="绩效评价"/>
    <w:basedOn w:val="2"/>
    <w:qFormat/>
    <w:uiPriority w:val="0"/>
    <w:pPr>
      <w:spacing w:before="60" w:after="60" w:line="360" w:lineRule="auto"/>
      <w:ind w:firstLine="0" w:firstLineChars="0"/>
      <w:jc w:val="left"/>
    </w:pPr>
    <w:rPr>
      <w:rFonts w:hint="default" w:ascii="黑体" w:hAnsi="黑体" w:eastAsia="黑体" w:cstheme="minorBidi"/>
      <w:b w:val="0"/>
      <w:sz w:val="28"/>
      <w:szCs w:val="32"/>
    </w:rPr>
  </w:style>
  <w:style w:type="paragraph" w:customStyle="1" w:styleId="21">
    <w:name w:val="闻政标题5"/>
    <w:basedOn w:val="1"/>
    <w:qFormat/>
    <w:uiPriority w:val="0"/>
    <w:pPr>
      <w:spacing w:before="120" w:after="60" w:line="500" w:lineRule="exact"/>
    </w:pPr>
    <w:rPr>
      <w:rFonts w:hint="default" w:ascii="Times New Roman" w:hAnsi="Times New Roman" w:eastAsia="仿宋_GB2312" w:cstheme="minorBidi"/>
      <w:b/>
      <w:szCs w:val="28"/>
    </w:rPr>
  </w:style>
  <w:style w:type="character" w:customStyle="1" w:styleId="22">
    <w:name w:val="hover17"/>
    <w:basedOn w:val="11"/>
    <w:qFormat/>
    <w:uiPriority w:val="0"/>
    <w:rPr>
      <w:color w:val="557EE7"/>
    </w:rPr>
  </w:style>
  <w:style w:type="paragraph" w:customStyle="1" w:styleId="23">
    <w:name w:val="闻政-正文段落文字"/>
    <w:basedOn w:val="1"/>
    <w:qFormat/>
    <w:uiPriority w:val="0"/>
    <w:pPr>
      <w:spacing w:line="500" w:lineRule="exact"/>
      <w:ind w:firstLine="200" w:firstLineChars="200"/>
    </w:pPr>
    <w:rPr>
      <w:rFonts w:ascii="Times New Roman" w:hAnsi="Times New Roman" w:eastAsia="仿宋_GB2312"/>
      <w:kern w:val="0"/>
      <w:sz w:val="28"/>
      <w:szCs w:val="28"/>
    </w:rPr>
  </w:style>
  <w:style w:type="character" w:customStyle="1" w:styleId="24">
    <w:name w:val="闻政正文 Char"/>
    <w:link w:val="19"/>
    <w:qFormat/>
    <w:uiPriority w:val="99"/>
    <w:rPr>
      <w:rFonts w:hint="default" w:ascii="Times New Roman" w:hAnsi="Times New Roman" w:eastAsia="仿宋_GB2312" w:cstheme="minorBidi"/>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153</Words>
  <Characters>874</Characters>
  <Lines>7</Lines>
  <Paragraphs>2</Paragraphs>
  <TotalTime>0</TotalTime>
  <ScaleCrop>false</ScaleCrop>
  <LinksUpToDate>false</LinksUpToDate>
  <CharactersWithSpaces>1025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2019-03-25T03:50:00Z</dcterms:created>
  <dc:creator>Administrator</dc:creator>
  <cp:lastModifiedBy>木棉花</cp:lastModifiedBy>
  <dcterms:modified xsi:type="dcterms:W3CDTF">2020-05-19T15:29:38Z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