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pStyle w:val="3"/>
        <w:rPr>
          <w:rFonts w:hint="eastAsia" w:ascii="仿宋" w:hAnsi="仿宋" w:eastAsia="仿宋" w:cs="仿宋"/>
          <w:b/>
          <w:bCs/>
          <w:color w:val="auto"/>
          <w:sz w:val="32"/>
          <w:szCs w:val="32"/>
          <w:lang w:val="en-US" w:eastAsia="zh-CN"/>
        </w:rPr>
      </w:pPr>
    </w:p>
    <w:p>
      <w:pPr>
        <w:rPr>
          <w:rFonts w:hint="eastAsia" w:ascii="仿宋" w:hAnsi="仿宋" w:eastAsia="仿宋" w:cs="仿宋"/>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color w:val="auto"/>
          <w:sz w:val="52"/>
          <w:szCs w:val="52"/>
        </w:rPr>
      </w:pPr>
      <w:r>
        <w:rPr>
          <w:rFonts w:hint="eastAsia" w:ascii="仿宋" w:hAnsi="仿宋" w:eastAsia="仿宋" w:cs="仿宋"/>
          <w:b/>
          <w:bCs/>
          <w:color w:val="auto"/>
          <w:sz w:val="52"/>
          <w:szCs w:val="52"/>
        </w:rPr>
        <w:t>自治区财政支出事前绩效评估报告</w:t>
      </w:r>
    </w:p>
    <w:p>
      <w:pPr>
        <w:widowControl/>
        <w:jc w:val="center"/>
        <w:rPr>
          <w:rFonts w:hint="eastAsia" w:ascii="仿宋" w:hAnsi="仿宋" w:eastAsia="仿宋" w:cs="仿宋"/>
          <w:color w:val="auto"/>
          <w:kern w:val="0"/>
          <w:sz w:val="44"/>
          <w:szCs w:val="44"/>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widowControl/>
        <w:rPr>
          <w:rFonts w:hint="eastAsia" w:ascii="仿宋" w:hAnsi="仿宋" w:eastAsia="仿宋" w:cs="仿宋"/>
          <w:b/>
          <w:bCs/>
          <w:color w:val="auto"/>
          <w:kern w:val="0"/>
          <w:sz w:val="32"/>
          <w:szCs w:val="32"/>
        </w:rPr>
      </w:pPr>
    </w:p>
    <w:p>
      <w:pPr>
        <w:ind w:firstLine="482" w:firstLineChars="150"/>
        <w:rPr>
          <w:rFonts w:hint="eastAsia" w:ascii="仿宋" w:hAnsi="仿宋" w:eastAsia="仿宋" w:cs="仿宋"/>
          <w:b/>
          <w:bCs/>
          <w:color w:val="auto"/>
          <w:kern w:val="2"/>
          <w:sz w:val="32"/>
          <w:szCs w:val="32"/>
          <w:lang w:val="en-US" w:eastAsia="zh-CN"/>
        </w:rPr>
      </w:pPr>
      <w:r>
        <w:rPr>
          <w:rFonts w:hint="eastAsia"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：县配套农牧民计划生育免费手术技术服务经费</w:t>
      </w:r>
    </w:p>
    <w:p>
      <w:pPr>
        <w:pStyle w:val="18"/>
        <w:ind w:firstLine="482" w:firstLineChars="150"/>
        <w:jc w:val="left"/>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民丰县卫生健康委员会</w:t>
      </w: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根据中共中央、国务院《关于全面实施预算绩效管理的意见》（中发〔2018〕34号文）、自治区党委、自治区人民政府《关于全面实施预算绩效管理的实施意见》（新党发〔2018〕30号文）及《自治区财政支出事前绩效评估管理暂行办法》（新财预〔2019〕36号）文件要求，</w:t>
      </w:r>
      <w:r>
        <w:rPr>
          <w:rFonts w:hint="eastAsia" w:ascii="仿宋" w:hAnsi="仿宋" w:eastAsia="仿宋" w:cs="仿宋"/>
          <w:color w:val="auto"/>
          <w:sz w:val="32"/>
          <w:szCs w:val="32"/>
        </w:rPr>
        <w:t>秉承科学规范、公平公正、绩效相关的原则，</w:t>
      </w:r>
      <w:r>
        <w:rPr>
          <w:rFonts w:hint="eastAsia" w:ascii="仿宋" w:hAnsi="仿宋" w:eastAsia="仿宋" w:cs="仿宋"/>
          <w:color w:val="auto"/>
          <w:kern w:val="2"/>
          <w:sz w:val="32"/>
          <w:szCs w:val="32"/>
          <w:lang w:val="en-US" w:eastAsia="zh-CN" w:bidi="ar-SA"/>
        </w:rPr>
        <w:t xml:space="preserve">对我单位项目进行事前绩效评估，具体评估情况如下： </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依据国务院印发未来15年人口规划,《规划》指出，未来十几年特别是2021-2030年，我国人口发展进入关键转折期。根据预测，人口总量将在2030年前后达到峰值，劳动年龄人口波动下降，老龄化程度不断加深，人口流动仍然活跃，家庭呈现多样化趋势。综合判断，人口众多的基本国情不会根本改变，人口对经济社会发展的压力不会根本改变，人口与资源环境的紧张关系不会根本改变。完善人口发展战略和人口政策体系，促进人口长期均衡发展，最大限度地发挥人口对经济社会发展的能动作用，对全面建成小康社会、实现中华民族伟大复兴的中国梦，具有重大现实意义和深远历史意义。</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稳定低生育水平是新时期人口和计划生育工作的首要任务，“十一五”期间是实现这一任务的关键时期。综合分析中国经济社会和人口发展趋势，到“十一五”期末，全国人口总量要控制在13.6亿人以内；到2020年，人口总量要控制在14.5亿人左右，总和生育率稳定在更替水平以下。为此，必须坚持计划生育基本国策和稳定现行生育政策不动摇，党政第一把手亲自抓、负总责不动摇，稳定人口和计划生育工作机构、队伍不动摇，不断创新人口和计划生育工作体制、机制、手段和方法不动摇。全面加强基层基础工作，坚持依法行政、思想政治教育与利益导向相结合，综合运用法律、行政、教育、经济等手段，建立健全依法管理、村（居）民自治、优质服务、政策推动、综合治理的长效工作机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我国坚持不懈地实行计划生育的基本国策，对建设中国特色社会主义、实现国家富强和民族振兴产生了巨大影响，为促进人口与发展发挥了重要作用。据此依据，特设立该项目。</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计划生育是我国的基本国策，人口问题始终是制约我国全面协调可持续发展的重大问题，是影响经济社会发展的关键因素。我国实行计划生育政策，有效地缓解了人口对资源、环境的压力，有力地促进了经济发展和社会进步，对建设中国特色社会主义、实现国家富强和民族振兴产生了巨大影响。近几年来，民丰县财政部门充分认识做好计划生育工作的重要性，从有利于可持续发展的大局出发，切实加大财政投入，力促我县计划生育方面达到四个目的：出生人口素质明显提高，出生婴儿性别比趋向正常，育龄群众享有基本的生死保健服务，初步形成新的婚育观念和生育文化，从而达到造福全县人民，推进社会稳定，促进我县可持续协调发展的目标。</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该项目坚持以邓小平理论、“三个代表”重要思想和科学发展观为指导，紧紧围绕构建社会主义和谐社会和实现全县“十一五”期间人口控制目标，认真贯彻《人口与计划生育条例》，为“十一五”期间全县人口和计划生育工作及事业发展提供可靠的经费保障。</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县配套农牧民计划生育免费手术技术服务经费项目</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民丰县卫生健康委员会，</w:t>
      </w:r>
      <w:r>
        <w:rPr>
          <w:rFonts w:hint="eastAsia" w:ascii="仿宋" w:hAnsi="仿宋" w:eastAsia="仿宋" w:cs="仿宋"/>
          <w:b w:val="0"/>
          <w:bCs w:val="0"/>
          <w:color w:val="auto"/>
          <w:kern w:val="2"/>
          <w:sz w:val="32"/>
          <w:szCs w:val="32"/>
          <w:lang w:val="en-US" w:eastAsia="zh-CN"/>
        </w:rPr>
        <w:t>民丰</w:t>
      </w:r>
      <w:r>
        <w:rPr>
          <w:rFonts w:hint="eastAsia" w:ascii="仿宋" w:hAnsi="仿宋" w:eastAsia="仿宋" w:cs="仿宋"/>
          <w:color w:val="auto"/>
          <w:sz w:val="32"/>
          <w:szCs w:val="32"/>
          <w:lang w:val="en-US" w:eastAsia="zh-CN"/>
        </w:rPr>
        <w:t>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民丰县卫生健康委员会</w:t>
      </w:r>
      <w:r>
        <w:rPr>
          <w:rFonts w:hint="eastAsia" w:ascii="仿宋" w:hAnsi="仿宋" w:eastAsia="仿宋" w:cs="仿宋"/>
          <w:color w:val="auto"/>
          <w:sz w:val="32"/>
          <w:szCs w:val="32"/>
        </w:rPr>
        <w:t>负责</w:t>
      </w:r>
      <w:r>
        <w:rPr>
          <w:rFonts w:hint="eastAsia" w:ascii="仿宋" w:hAnsi="仿宋" w:eastAsia="仿宋" w:cs="仿宋"/>
          <w:b w:val="0"/>
          <w:bCs w:val="0"/>
          <w:color w:val="auto"/>
          <w:kern w:val="2"/>
          <w:sz w:val="32"/>
          <w:szCs w:val="32"/>
          <w:lang w:val="en-US" w:eastAsia="zh-CN"/>
        </w:rPr>
        <w:t>项目的</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县财政局负责拨付项目使用资金，并加强对</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资金使用的监督和管理。财政和项目实施单位严格实行“三专”管理，即设专户、建专帐、定专人。同时，资金拨付除坚持按项目计划、进度和质量分阶段验收拨款外，还坚持部门联审制，项目单位先做事、后报帐，从而确保了专项资金专款专用，有效地防止了截留、挤占和</w:t>
      </w:r>
      <w:r>
        <w:rPr>
          <w:rFonts w:hint="eastAsia" w:ascii="仿宋" w:hAnsi="仿宋" w:eastAsia="仿宋" w:cs="仿宋"/>
          <w:color w:val="auto"/>
          <w:sz w:val="32"/>
          <w:szCs w:val="32"/>
          <w:lang w:eastAsia="zh-CN"/>
        </w:rPr>
        <w:t>挪</w:t>
      </w:r>
      <w:r>
        <w:rPr>
          <w:rFonts w:hint="eastAsia" w:ascii="仿宋" w:hAnsi="仿宋" w:eastAsia="仿宋" w:cs="仿宋"/>
          <w:color w:val="auto"/>
          <w:sz w:val="32"/>
          <w:szCs w:val="32"/>
        </w:rPr>
        <w:t>用。</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县配套农牧民计划生育免费手术技术服务经费</w:t>
      </w:r>
      <w:r>
        <w:rPr>
          <w:rFonts w:hint="eastAsia" w:ascii="仿宋" w:hAnsi="仿宋" w:eastAsia="仿宋" w:cs="仿宋"/>
          <w:color w:val="auto"/>
          <w:sz w:val="32"/>
          <w:szCs w:val="32"/>
          <w:lang w:val="en-US" w:eastAsia="zh-CN"/>
        </w:rPr>
        <w:t>预算资金50万元，主要用于：农牧民计划生育免费手术技术服务,完成人口情况监测工作100%,完成计划生育利益导向工作100%,违法生育人数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0人,单月访视、双月查孕、季度查环≥95%</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zh-CN"/>
        </w:rPr>
        <w:tab/>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left="319" w:leftChars="152" w:firstLine="320" w:firstLineChars="1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该项目根据服务范围进行资金预算：</w:t>
      </w:r>
      <w:r>
        <w:rPr>
          <w:rFonts w:hint="eastAsia" w:ascii="仿宋" w:hAnsi="仿宋" w:eastAsia="仿宋" w:cs="仿宋"/>
          <w:color w:val="auto"/>
          <w:sz w:val="32"/>
          <w:szCs w:val="32"/>
          <w:lang w:val="en-US" w:eastAsia="zh-CN"/>
        </w:rPr>
        <w:t>预算资金50万元。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r>
        <w:rPr>
          <w:rFonts w:hint="eastAsia" w:ascii="仿宋" w:hAnsi="仿宋" w:eastAsia="仿宋" w:cs="仿宋"/>
          <w:color w:val="auto"/>
          <w:sz w:val="32"/>
          <w:szCs w:val="32"/>
          <w:lang w:eastAsia="zh-CN"/>
        </w:rPr>
        <w:t>评估工作组以入户通知书的形式通知项目单位，并明确评估的依据、内容、目的、任务、时间、要求等事项。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评估工作组</w:t>
      </w: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民丰县卫生健康委员会</w:t>
      </w:r>
      <w:r>
        <w:rPr>
          <w:rFonts w:hint="eastAsia" w:ascii="仿宋" w:hAnsi="仿宋" w:eastAsia="仿宋" w:cs="仿宋"/>
          <w:color w:val="auto"/>
          <w:sz w:val="32"/>
          <w:szCs w:val="32"/>
        </w:rPr>
        <w:t>工作计划，拟定</w:t>
      </w:r>
      <w:r>
        <w:rPr>
          <w:rFonts w:hint="eastAsia" w:ascii="仿宋" w:hAnsi="仿宋" w:eastAsia="仿宋" w:cs="仿宋"/>
          <w:color w:val="auto"/>
          <w:sz w:val="32"/>
          <w:szCs w:val="32"/>
          <w:lang w:eastAsia="zh-CN"/>
        </w:rPr>
        <w:t>《事前绩效评估工作方案》</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包括评估对象、内容、方法、专家、时间安排等。</w:t>
      </w:r>
      <w:r>
        <w:rPr>
          <w:rFonts w:hint="eastAsia" w:ascii="仿宋" w:hAnsi="仿宋" w:eastAsia="仿宋" w:cs="仿宋"/>
          <w:color w:val="auto"/>
          <w:sz w:val="32"/>
          <w:szCs w:val="32"/>
        </w:rPr>
        <w:t>依据</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w:t>
      </w:r>
      <w:r>
        <w:rPr>
          <w:rFonts w:hint="eastAsia" w:ascii="仿宋" w:hAnsi="仿宋" w:eastAsia="仿宋" w:cs="仿宋"/>
          <w:color w:val="auto"/>
          <w:sz w:val="32"/>
          <w:szCs w:val="32"/>
          <w:lang w:eastAsia="zh-CN"/>
        </w:rPr>
        <w:t>项目计划</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w:t>
      </w:r>
      <w:r>
        <w:rPr>
          <w:rFonts w:hint="eastAsia" w:ascii="仿宋" w:hAnsi="仿宋" w:eastAsia="仿宋" w:cs="仿宋"/>
          <w:color w:val="auto"/>
          <w:sz w:val="32"/>
          <w:szCs w:val="32"/>
          <w:lang w:eastAsia="zh-CN"/>
        </w:rPr>
        <w:t>评估工作组遴选相关人大代表、政协委员、管理专家、财政财务专家和业务专家，组成评估专家组，并适时开展业务培训。</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县本</w:t>
      </w:r>
      <w:r>
        <w:rPr>
          <w:rFonts w:hint="eastAsia" w:ascii="仿宋" w:hAnsi="仿宋" w:eastAsia="仿宋" w:cs="仿宋"/>
          <w:color w:val="auto"/>
          <w:sz w:val="32"/>
          <w:szCs w:val="32"/>
        </w:rPr>
        <w:t>项目负责人确定现场调研时间，明确工作内容，包括：需要准备的资料清单、项目方案、时间计划安排等。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6.组织实施评估。绩效考评组会同人大代表、政协委员和评估专家共同召开评估会议，了解项目基本情况，听取项目单位和设计单位的情况介绍，进行现场评议。</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(1)采取多种方式，多方获取信息。通过咨询专家、查阅资料、问卷调查、电话采访、集中座谈等方式，全面了解并收集项目信息。</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(2)专家出具个人意见，评估工作组形成专家组初步意见。召开专家评估会，项目单位汇报项目计划内容和实施方案情况，由评估工作组组织专家进行充分论证，出具专家个人意见，填写《项目支出事前绩效评估专家评估意见》。评估工作组结合专家意见，综合调查分析结果，形成专家组初步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(3)确认专家组意见，得出评估结论。评估工作组将专家组初步意见分别报送每一位专家征求意见，评估工作组综合专家意见，修改完善专家组意见，得出最终评估结论，填写《项目支出事前绩效评估专家组汇总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7.汇报绩效评估结论。完成最终评价报告，提出评估结论意见。</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本次事前绩效评估主要针对项目的相关性、项目绩效的可实现性、项目实施方案的有效性、项目预期绩效的可持续性、财政资金投入的可行性及风险等五方面进行综合评估、分析与论证，并提出相关建议。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w:t>
      </w:r>
      <w:r>
        <w:rPr>
          <w:rFonts w:hint="eastAsia" w:ascii="仿宋" w:hAnsi="仿宋" w:eastAsia="仿宋" w:cs="仿宋"/>
          <w:color w:val="auto"/>
          <w:sz w:val="32"/>
          <w:szCs w:val="32"/>
          <w:lang w:eastAsia="zh-CN"/>
        </w:rPr>
        <w:t>事前</w:t>
      </w:r>
      <w:r>
        <w:rPr>
          <w:rFonts w:hint="eastAsia" w:ascii="仿宋" w:hAnsi="仿宋" w:eastAsia="仿宋" w:cs="仿宋"/>
          <w:color w:val="auto"/>
          <w:sz w:val="32"/>
          <w:szCs w:val="32"/>
        </w:rPr>
        <w:t>绩效评估</w:t>
      </w:r>
      <w:r>
        <w:rPr>
          <w:rFonts w:hint="eastAsia" w:ascii="仿宋" w:hAnsi="仿宋" w:eastAsia="仿宋" w:cs="仿宋"/>
          <w:color w:val="auto"/>
          <w:sz w:val="32"/>
          <w:szCs w:val="32"/>
          <w:lang w:eastAsia="zh-CN"/>
        </w:rPr>
        <w:t>遵循全面考虑、重点突出的原则，主要采用专家咨询的方式，同时辅之以资料分析、集中座谈、网络查询、电话采访、抽样调查等评估方式或手段，对项目的相关性、可行性、持续性等方面进行全面评估。</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r>
        <w:rPr>
          <w:rFonts w:hint="eastAsia" w:ascii="仿宋" w:hAnsi="仿宋" w:eastAsia="仿宋" w:cs="仿宋"/>
          <w:color w:val="auto"/>
          <w:sz w:val="32"/>
          <w:szCs w:val="32"/>
          <w:lang w:eastAsia="zh-CN"/>
        </w:rPr>
        <w:t>。</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事前绩效评估主要采用成本效益分析、比较分析、因素分析、最低成本分析、历史分析等方法进行论证。本次绩效采用“</w:t>
      </w:r>
      <w:r>
        <w:rPr>
          <w:rFonts w:hint="eastAsia" w:ascii="仿宋" w:hAnsi="仿宋" w:eastAsia="仿宋" w:cs="仿宋"/>
          <w:color w:val="auto"/>
          <w:sz w:val="32"/>
          <w:szCs w:val="32"/>
          <w:shd w:val="clear" w:color="auto" w:fill="FFFFFF"/>
        </w:rPr>
        <w:t>公众评判法”进行评估。</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shd w:val="clear" w:color="auto" w:fill="FFFFFF"/>
          <w:lang w:val="en-US" w:eastAsia="zh-CN"/>
        </w:rPr>
        <w:t>民丰县卫生健康委员会项目评估小组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部门会议决定，进行现场踏勘及问卷调查，实地了解情况，对项目可行性提供事实依据。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w:t>
      </w:r>
      <w:r>
        <w:rPr>
          <w:rFonts w:hint="eastAsia" w:ascii="仿宋" w:hAnsi="仿宋" w:eastAsia="仿宋" w:cs="仿宋"/>
          <w:color w:val="auto"/>
          <w:sz w:val="32"/>
          <w:szCs w:val="32"/>
          <w:highlight w:val="none"/>
          <w:lang w:val="en-US" w:eastAsia="zh-CN"/>
        </w:rPr>
        <w:t>记录选取</w:t>
      </w:r>
      <w:r>
        <w:rPr>
          <w:rFonts w:hint="eastAsia" w:ascii="仿宋" w:hAnsi="仿宋" w:eastAsia="仿宋" w:cs="仿宋"/>
          <w:color w:val="auto"/>
          <w:sz w:val="32"/>
          <w:szCs w:val="32"/>
          <w:highlight w:val="none"/>
          <w:shd w:val="clear" w:color="auto" w:fill="FFFFFF"/>
          <w:lang w:val="en-US" w:eastAsia="zh-CN"/>
        </w:rPr>
        <w:t>问卷调查</w:t>
      </w:r>
      <w:r>
        <w:rPr>
          <w:rFonts w:hint="eastAsia" w:ascii="仿宋" w:hAnsi="仿宋" w:eastAsia="仿宋" w:cs="仿宋"/>
          <w:color w:val="auto"/>
          <w:sz w:val="32"/>
          <w:szCs w:val="32"/>
          <w:highlight w:val="none"/>
          <w:lang w:val="en-US" w:eastAsia="zh-CN"/>
        </w:rPr>
        <w:t>群众的情况介绍和意见</w:t>
      </w:r>
      <w:r>
        <w:rPr>
          <w:rFonts w:hint="eastAsia" w:ascii="仿宋" w:hAnsi="仿宋" w:eastAsia="仿宋" w:cs="仿宋"/>
          <w:color w:val="auto"/>
          <w:sz w:val="32"/>
          <w:szCs w:val="32"/>
          <w:highlight w:val="none"/>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1、组长：郑远华（民丰县卫生健康委员会党组书记），负责项目的管理工作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2、组员：托合提苏来曼·麦提拖合提（民丰县卫生健康委员会主任），负责项目的监督与考核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yellow"/>
          <w:lang w:val="en-US" w:eastAsia="zh-CN"/>
        </w:rPr>
      </w:pPr>
      <w:r>
        <w:rPr>
          <w:rFonts w:hint="eastAsia" w:ascii="仿宋" w:hAnsi="仿宋" w:eastAsia="仿宋" w:cs="仿宋"/>
          <w:color w:val="auto"/>
          <w:sz w:val="32"/>
          <w:szCs w:val="32"/>
          <w:highlight w:val="none"/>
          <w:lang w:val="en-US" w:eastAsia="zh-CN"/>
        </w:rPr>
        <w:t>3、组员：张振（民丰县卫生健康委员会副主任），负责项目的监督。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民丰县卫生健康委员会组成3人评估小组，对该项目情况进行全方位调查和评估，确保评估工作公开、透明，为该项目工作的开展提供经验和依据。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1、项目符合相关政策，与部门职能和规划相关。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960" w:firstLineChars="3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中华人民共和国人口与计划生育法》、国务院印发《未来15年人口规划》，要以促进人口均衡发展为主线，坚持计划生育基本国策，鼓励按政策生育，充分发挥全面两孩政策效应，综合施策，创造有利于发展的人口总量势能、结构红利和素质资本叠加优势，促进人口与经济社会、资源环境协调可持续发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民丰县卫生健康委员会相关职能：负责计划生育管理和服务工作，开展人口监测预警，研究提出人口与家庭发展相关政策建议，完善计划生育政策。</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项目具有现实需求，且需求迫切。</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人口过快和过多增长,直接影响我国经济的发展和人民生活水平的提高。从本质上讲,人口问题就是发展问题。只有严格控制人口过快增长,是人口发展与经济社会发展相适应,才能保证社会主义现代化宏伟大业的顺利实现。实行计划生育,是从我国社会主义初级阶段的国情制定的一项基本国策,是控制人口增长的唯一正确选择。</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1、项目绩效目标基本明确。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项目绩效目标明确，用于农牧民计划生育免费手术技术服务。</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2、项目绩效指标明确，且将项目绩效目标细化分解。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项目绩效指标明确且将项目绩效目标细化分解为具体的绩效指标：数量指标、质量指标、时效指标、成本指标、社会效益指标、可持续影响指标、服务对象满意度指标。</w:t>
      </w:r>
    </w:p>
    <w:p>
      <w:pPr>
        <w:pStyle w:val="3"/>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3、项目综合效益显著，预期效益可实现性较强。</w:t>
      </w:r>
    </w:p>
    <w:p>
      <w:pPr>
        <w:pStyle w:val="3"/>
        <w:numPr>
          <w:ilvl w:val="0"/>
          <w:numId w:val="0"/>
        </w:numPr>
        <w:ind w:firstLine="640" w:firstLineChars="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项目实施后，已婚育龄妇女优生优育、生殖健康知识水平逐步提高，逐步稳定适度生育水平。对进一步稳定生育水平，促进群众生育观念的转变，都具有深远意义。</w:t>
      </w:r>
    </w:p>
    <w:p>
      <w:pPr>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4、以往年度项目的管理基本到位，且实现了预期目标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bidi="ar-SA"/>
        </w:rPr>
        <w:t>以往年度项目完全达到了预期目标。将项目预期目标和成本预算与主管部门</w:t>
      </w:r>
      <w:r>
        <w:rPr>
          <w:rFonts w:hint="eastAsia" w:ascii="仿宋" w:hAnsi="仿宋" w:eastAsia="仿宋" w:cs="仿宋"/>
          <w:color w:val="auto"/>
          <w:sz w:val="32"/>
          <w:szCs w:val="32"/>
          <w:highlight w:val="none"/>
          <w:lang w:val="en-US" w:eastAsia="zh-CN"/>
        </w:rPr>
        <w:t>历史数据对比、与计划对比、与行业平均水平对比，未存在异常。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3"/>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4"/>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项目内容明确，决策申报程序基本规范。</w:t>
      </w:r>
    </w:p>
    <w:p>
      <w:pPr>
        <w:numPr>
          <w:ilvl w:val="0"/>
          <w:numId w:val="0"/>
        </w:numPr>
        <w:ind w:firstLine="624" w:firstLineChars="200"/>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pacing w:val="-4"/>
          <w:sz w:val="32"/>
          <w:szCs w:val="32"/>
          <w:lang w:val="en-US" w:eastAsia="zh-CN"/>
        </w:rPr>
        <w:t>项目内容明确，且决策申报程序基本规范。主要内容：</w:t>
      </w:r>
      <w:r>
        <w:rPr>
          <w:rFonts w:hint="eastAsia" w:ascii="仿宋" w:hAnsi="仿宋" w:eastAsia="仿宋" w:cs="仿宋"/>
          <w:color w:val="auto"/>
          <w:sz w:val="32"/>
          <w:szCs w:val="32"/>
          <w:lang w:val="en-US" w:eastAsia="zh-CN"/>
        </w:rPr>
        <w:t>完成人口情况监测工作100%,完成计划生育利益导向工作100%,违法生育人数</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0人,单月访视、双月查孕、季度查环≥95%，人口出生率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≤1.1%，自然增长率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≤0.54%，全员人口信息准确率100%，长效避孕率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≥85%</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，出生人口政策符合率</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≥99.9%</w:t>
      </w:r>
      <w:r>
        <w:rPr>
          <w:rFonts w:hint="eastAsia" w:ascii="仿宋" w:hAnsi="仿宋" w:eastAsia="仿宋" w:cs="仿宋"/>
          <w:color w:val="auto"/>
          <w:sz w:val="32"/>
          <w:szCs w:val="32"/>
          <w:lang w:val="en-US" w:eastAsia="zh-CN"/>
        </w:rPr>
        <w:tab/>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val="en-US" w:eastAsia="zh-CN"/>
        </w:rPr>
        <w:tab/>
      </w:r>
    </w:p>
    <w:p>
      <w:pPr>
        <w:keepNext w:val="0"/>
        <w:keepLines w:val="0"/>
        <w:pageBreakBefore w:val="0"/>
        <w:numPr>
          <w:ilvl w:val="0"/>
          <w:numId w:val="4"/>
        </w:numPr>
        <w:kinsoku/>
        <w:wordWrap/>
        <w:overflowPunct/>
        <w:topLinePunct w:val="0"/>
        <w:autoSpaceDE/>
        <w:autoSpaceDN/>
        <w:bidi w:val="0"/>
        <w:adjustRightInd/>
        <w:snapToGrid/>
        <w:spacing w:line="600" w:lineRule="exact"/>
        <w:ind w:left="0" w:leftChars="0" w:firstLine="624" w:firstLineChars="200"/>
        <w:textAlignment w:val="auto"/>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项目预算编制有文件依据，且与绩效目标与项目内容相匹配。</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项目预算编制主要依据《中华人民共和国预算法》、《关于印发[和田地区财政资金使用跟踪反馈管理暂行办法]的通知》（和地财预[2018]67号）文件，与绩效目标与项目内容相匹配。</w:t>
      </w:r>
    </w:p>
    <w:p>
      <w:pPr>
        <w:numPr>
          <w:ilvl w:val="0"/>
          <w:numId w:val="0"/>
        </w:numPr>
        <w:ind w:firstLine="624" w:firstLineChars="200"/>
        <w:rPr>
          <w:rStyle w:val="12"/>
          <w:rFonts w:hint="eastAsia" w:ascii="仿宋" w:hAnsi="仿宋" w:eastAsia="仿宋" w:cs="仿宋"/>
          <w:b w:val="0"/>
          <w:color w:val="auto"/>
          <w:spacing w:val="-4"/>
          <w:kern w:val="2"/>
          <w:sz w:val="32"/>
          <w:szCs w:val="32"/>
          <w:lang w:val="en-US" w:eastAsia="zh-CN" w:bidi="ar-SA"/>
        </w:rPr>
      </w:pPr>
      <w:r>
        <w:rPr>
          <w:rStyle w:val="12"/>
          <w:rFonts w:hint="eastAsia" w:ascii="仿宋" w:hAnsi="仿宋" w:eastAsia="仿宋" w:cs="仿宋"/>
          <w:b w:val="0"/>
          <w:color w:val="auto"/>
          <w:spacing w:val="-4"/>
          <w:kern w:val="2"/>
          <w:sz w:val="32"/>
          <w:szCs w:val="32"/>
          <w:lang w:val="en-US" w:eastAsia="zh-CN" w:bidi="ar-SA"/>
        </w:rPr>
        <w:t>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pStyle w:val="3"/>
        <w:numPr>
          <w:ilvl w:val="0"/>
          <w:numId w:val="0"/>
        </w:numPr>
        <w:ind w:firstLine="624" w:firstLineChars="200"/>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3、项目单位各项管理制度与措施健全，且基本得到有效执行。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lang w:eastAsia="zh-CN"/>
        </w:rPr>
        <w:t>）资金管理制度方面，依据《关于印发&lt;自治区财政资金使用跟踪反馈管理暂行办法&gt;的通知》（新财预字[2016]113号）、</w:t>
      </w:r>
      <w:r>
        <w:rPr>
          <w:rStyle w:val="12"/>
          <w:rFonts w:hint="eastAsia" w:ascii="仿宋" w:hAnsi="仿宋" w:eastAsia="仿宋" w:cs="仿宋"/>
          <w:b w:val="0"/>
          <w:color w:val="auto"/>
          <w:sz w:val="32"/>
          <w:szCs w:val="32"/>
        </w:rPr>
        <w:t>《财政预算资金拨付管理暂行办法》</w:t>
      </w:r>
      <w:r>
        <w:rPr>
          <w:rStyle w:val="12"/>
          <w:rFonts w:hint="eastAsia" w:ascii="仿宋" w:hAnsi="仿宋" w:eastAsia="仿宋" w:cs="仿宋"/>
          <w:b w:val="0"/>
          <w:color w:val="auto"/>
          <w:sz w:val="32"/>
          <w:szCs w:val="32"/>
          <w:lang w:eastAsia="zh-CN"/>
        </w:rPr>
        <w:t>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根据《中华人民共和国预算法》，加强对项目资金的预算执行及日常监督管理，确保每个项目按照规定的用途实施。资金拨付坚持按项目、预算、进度、指定用途拨款，确保财政专项资金规范使用。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依据《财政资金管理办法》，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rPr>
        <w:t>项目管理制度建设</w:t>
      </w:r>
    </w:p>
    <w:p>
      <w:pPr>
        <w:ind w:firstLine="624" w:firstLineChars="200"/>
        <w:rPr>
          <w:rStyle w:val="12"/>
          <w:rFonts w:hint="eastAsia" w:ascii="仿宋" w:hAnsi="仿宋" w:eastAsia="仿宋" w:cs="仿宋"/>
          <w:b w:val="0"/>
          <w:color w:val="auto"/>
          <w:spacing w:val="-4"/>
          <w:sz w:val="32"/>
          <w:szCs w:val="32"/>
          <w:shd w:val="clear" w:color="FFFFFF" w:fill="FFFFFF"/>
        </w:rPr>
      </w:pPr>
      <w:r>
        <w:rPr>
          <w:rStyle w:val="12"/>
          <w:rFonts w:hint="eastAsia" w:ascii="仿宋" w:hAnsi="仿宋" w:eastAsia="仿宋" w:cs="仿宋"/>
          <w:b w:val="0"/>
          <w:color w:val="auto"/>
          <w:spacing w:val="-4"/>
          <w:sz w:val="32"/>
          <w:szCs w:val="32"/>
          <w:shd w:val="clear" w:color="FFFFFF" w:fill="FFFFFF"/>
        </w:rPr>
        <w:t>严格执行国家法规，并制定了预算管理制度、财务收支管理制度、票据领用登记制度、会计档案管理制度等各项内控稽核制度，按照收支两条线的管理原则，严格资金存款、流动报批手续，规范基金运作程序。切实建立起“资金运作事前报告制度”，凡运营的每笔资金，均须事前进行充分的调研论证，经同级财政部门同意后实施，资金必须专款专用，坚决杜绝违规动用。</w:t>
      </w:r>
    </w:p>
    <w:p>
      <w:pPr>
        <w:keepNext w:val="0"/>
        <w:keepLines w:val="0"/>
        <w:pageBreakBefore w:val="0"/>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pacing w:val="-4"/>
          <w:sz w:val="32"/>
          <w:szCs w:val="32"/>
          <w:shd w:val="clear" w:color="FFFFFF" w:fill="FFFFFF"/>
        </w:rPr>
        <w:t>建立完善监督检查制度和责任追究制度，定期不定期组织相关部门对项目工作开展情况进行监督检查，及时发现并解决补助工作过程中存在的矛盾和问题，查出各类违法违纪行为。工作领导小组及时协调解决实施过程中遇到的困难和问题，会同实施单位认真做好补贴资金筹集、拨付、管理、结算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4、</w:t>
      </w:r>
      <w:r>
        <w:rPr>
          <w:rStyle w:val="12"/>
          <w:rFonts w:hint="eastAsia" w:ascii="仿宋" w:hAnsi="仿宋" w:eastAsia="仿宋" w:cs="仿宋"/>
          <w:b w:val="0"/>
          <w:color w:val="auto"/>
          <w:sz w:val="32"/>
          <w:szCs w:val="32"/>
        </w:rPr>
        <w:t>日常检查监督管理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为加强项目的有效监管，由承担单位定期组织对项目组织管理与制度执行情况、项目规划设计和预算执行情况、项目建设工程任务完成情况、项目资金使用与管理情况、项目验收</w:t>
      </w:r>
      <w:r>
        <w:rPr>
          <w:rStyle w:val="12"/>
          <w:rFonts w:hint="eastAsia" w:ascii="仿宋" w:hAnsi="仿宋" w:eastAsia="仿宋" w:cs="仿宋"/>
          <w:b w:val="0"/>
          <w:color w:val="auto"/>
          <w:sz w:val="32"/>
          <w:szCs w:val="32"/>
          <w:lang w:eastAsia="zh-CN"/>
        </w:rPr>
        <w:t>等</w:t>
      </w:r>
      <w:r>
        <w:rPr>
          <w:rStyle w:val="12"/>
          <w:rFonts w:hint="eastAsia" w:ascii="仿宋" w:hAnsi="仿宋" w:eastAsia="仿宋" w:cs="仿宋"/>
          <w:b w:val="0"/>
          <w:color w:val="auto"/>
          <w:sz w:val="32"/>
          <w:szCs w:val="32"/>
        </w:rPr>
        <w:t>情况、项目档案资料管理情况等内容开展专项检查或者不定期抽查，开展监督检查措施，主要是内业检查、质量跟踪、开展审计等措施，强化项目的动态监管，确保项目质量。</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总的来说，</w:t>
      </w:r>
      <w:r>
        <w:rPr>
          <w:rFonts w:hint="eastAsia" w:ascii="仿宋" w:hAnsi="仿宋" w:eastAsia="仿宋" w:cs="仿宋"/>
          <w:color w:val="auto"/>
          <w:sz w:val="32"/>
          <w:szCs w:val="32"/>
        </w:rPr>
        <w:t>该项目制定的实施方案目标任务明确，</w:t>
      </w:r>
      <w:r>
        <w:rPr>
          <w:rFonts w:hint="eastAsia" w:ascii="仿宋" w:hAnsi="仿宋" w:eastAsia="仿宋" w:cs="仿宋"/>
          <w:color w:val="auto"/>
          <w:sz w:val="32"/>
          <w:szCs w:val="32"/>
          <w:lang w:eastAsia="zh-CN"/>
        </w:rPr>
        <w:t>项目预算与绩效目标、项目内容相匹配，预算编制符合相关规定，编制依据充分，投入产出较为合理。项目单位组织机构健全。职责分工明确。各项管理制度较为健全，组织管理措施科学、可行。可以保证项目实施的有效性。</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1、项目依据的政策具有可持续性。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Fonts w:hint="eastAsia" w:ascii="仿宋" w:hAnsi="仿宋" w:eastAsia="仿宋" w:cs="仿宋"/>
          <w:color w:val="auto"/>
          <w:sz w:val="32"/>
          <w:szCs w:val="32"/>
          <w:lang w:val="en-US" w:eastAsia="zh-CN"/>
        </w:rPr>
        <w:t>项目符合国家法律法规，相关政策要求会持续存在，且随着经济社会发展水平的提升，相关政策会越来越完善。从大</w:t>
      </w:r>
      <w:r>
        <w:rPr>
          <w:rStyle w:val="12"/>
          <w:rFonts w:hint="eastAsia" w:ascii="仿宋" w:hAnsi="仿宋" w:eastAsia="仿宋" w:cs="仿宋"/>
          <w:b w:val="0"/>
          <w:color w:val="auto"/>
          <w:sz w:val="32"/>
          <w:szCs w:val="32"/>
          <w:lang w:val="en-US" w:eastAsia="zh-CN"/>
        </w:rPr>
        <w:t>的政策方向看具有可持续性。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2、项目实施的组织机构具有可持续性。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民丰县卫生健康委员会作为组织管理机构，属于政府工作部门，且财政拨款能够保障项目实施资金来源。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3、项目产出及效果具有可持续性。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val="en-US" w:eastAsia="zh-CN"/>
        </w:rPr>
        <w:t>项目执行期间严格执行资金管理办法和财政资金管理制度，能按照实施方案执行项目管理。专项资金专款专用，严格使用、管理、保障到位。专项资金由县财政局统一管理拨付到项目实施单位，严格按照项目实施进度分批次拨付，通过各个部门的项目配合，相互监督，协调合作。项目实施单位严格执行各项规章制度，</w:t>
      </w:r>
      <w:r>
        <w:rPr>
          <w:rStyle w:val="12"/>
          <w:rFonts w:hint="eastAsia" w:ascii="仿宋" w:hAnsi="仿宋" w:eastAsia="仿宋" w:cs="仿宋"/>
          <w:b w:val="0"/>
          <w:color w:val="auto"/>
          <w:sz w:val="32"/>
          <w:szCs w:val="32"/>
          <w:lang w:eastAsia="zh-CN"/>
        </w:rPr>
        <w:t>能够确保项目产出与效益的完成。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Style w:val="12"/>
          <w:rFonts w:hint="eastAsia" w:ascii="仿宋" w:hAnsi="仿宋" w:eastAsia="仿宋" w:cs="仿宋"/>
          <w:b w:val="0"/>
          <w:bCs/>
          <w:color w:val="auto"/>
          <w:sz w:val="32"/>
          <w:szCs w:val="32"/>
          <w:lang w:eastAsia="zh-CN"/>
        </w:rPr>
        <w:t>总的来说，项目立项依据及政策具有可持续性，项目实施所需的组织机构具有可持续性，项目</w:t>
      </w:r>
      <w:r>
        <w:rPr>
          <w:rStyle w:val="12"/>
          <w:rFonts w:hint="eastAsia" w:ascii="仿宋" w:hAnsi="仿宋" w:eastAsia="仿宋" w:cs="仿宋"/>
          <w:b w:val="0"/>
          <w:bCs/>
          <w:color w:val="auto"/>
          <w:sz w:val="32"/>
          <w:szCs w:val="32"/>
          <w:lang w:val="en-US" w:eastAsia="zh-CN"/>
        </w:rPr>
        <w:t>产出及效果具有可持续性。故，该项目可持续性较强。</w:t>
      </w: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自本项目启动开始，实施单位严格执行财务会计各项制度、项目资金使用各项制度，严格按照《财政预算资金拨付管理暂行办法》执行。同时，该项目将严格按照基本项目管理程序，严格执行实施方案的有关要求，严格按照批准的项目主要内容、标准组织项目实施，未随意调整项目内容，无新增政府债务或隐性债务。因此不存在财政资金重复投入风险，财政资金投入风险基本可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通过对该项目进行评估，项目相关性显著，绩效可实现性较强，实施方案基本有效，预期绩效具有一定可持续性，且财政资金投入风险基本可控。对该项目应“予以支持”。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内容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主要内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本项目评估报告是评估小组根据项目单位所提供的材料进行全面分析与评估，结合现场考察情况，在专家评价意见的基础上综合形成的报告。本报告的结论与意见是参考性的，仅供财政部门批复预算时使用。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1、国家、地区相关法律、法规和规章制度：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（1）《中华人民共和国人口与计划生育法》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（2）《计划生育条例》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（3）《中华人民共和国预算法》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2、部门和行业的发展规划（计划）：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（1）《关于印发&lt;自治区本级部门预算绩效目标管理暂行办法&gt;》（新财预〔2018〕21号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（2）《和田地区财政资金使用跟踪反馈管理暂行办法》（和地财政[2018]67号）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4" w:firstLineChars="3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kern w:val="2"/>
          <w:sz w:val="32"/>
          <w:szCs w:val="32"/>
          <w:lang w:val="en-US" w:eastAsia="zh-CN" w:bidi="ar-SA"/>
        </w:rPr>
        <w:t>3、</w:t>
      </w:r>
      <w:r>
        <w:rPr>
          <w:rFonts w:hint="eastAsia" w:ascii="仿宋" w:hAnsi="仿宋" w:eastAsia="仿宋" w:cs="仿宋"/>
          <w:b/>
          <w:bCs/>
          <w:color w:val="auto"/>
          <w:sz w:val="32"/>
          <w:szCs w:val="32"/>
        </w:rPr>
        <w:t>单位职能及单位简介</w:t>
      </w:r>
    </w:p>
    <w:p>
      <w:pPr>
        <w:keepNext w:val="0"/>
        <w:keepLines w:val="0"/>
        <w:pageBreakBefore w:val="0"/>
        <w:widowControl/>
        <w:shd w:val="clear" w:color="auto" w:fill="auto"/>
        <w:kinsoku/>
        <w:wordWrap/>
        <w:overflowPunct/>
        <w:topLinePunct w:val="0"/>
        <w:autoSpaceDE/>
        <w:autoSpaceDN/>
        <w:bidi w:val="0"/>
        <w:adjustRightInd/>
        <w:snapToGrid/>
        <w:spacing w:line="600" w:lineRule="exact"/>
        <w:ind w:firstLine="641"/>
        <w:jc w:val="left"/>
        <w:textAlignment w:val="auto"/>
        <w:rPr>
          <w:rFonts w:hint="eastAsia" w:ascii="仿宋" w:hAnsi="仿宋" w:eastAsia="仿宋" w:cs="仿宋"/>
          <w:color w:val="auto"/>
          <w:kern w:val="0"/>
          <w:sz w:val="32"/>
          <w:szCs w:val="32"/>
          <w:highlight w:val="none"/>
          <w:lang w:eastAsia="zh-CN"/>
        </w:rPr>
      </w:pPr>
      <w:r>
        <w:rPr>
          <w:rFonts w:hint="eastAsia" w:ascii="仿宋" w:hAnsi="仿宋" w:eastAsia="仿宋" w:cs="仿宋"/>
          <w:color w:val="auto"/>
          <w:sz w:val="32"/>
          <w:szCs w:val="32"/>
          <w:lang w:val="en-US" w:eastAsia="zh-CN"/>
        </w:rPr>
        <w:t>民丰县卫生健康委员会是县人民政府工作部门，为正科级。</w:t>
      </w:r>
      <w:r>
        <w:rPr>
          <w:rFonts w:hint="eastAsia" w:ascii="仿宋" w:hAnsi="仿宋" w:eastAsia="仿宋" w:cs="仿宋"/>
          <w:bCs/>
          <w:kern w:val="0"/>
          <w:sz w:val="32"/>
          <w:szCs w:val="32"/>
        </w:rPr>
        <w:t>无下属预算单位，下设</w:t>
      </w: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rPr>
        <w:t>个股室，分别是：</w:t>
      </w:r>
      <w:r>
        <w:rPr>
          <w:rFonts w:hint="eastAsia" w:ascii="仿宋" w:hAnsi="仿宋" w:eastAsia="仿宋" w:cs="仿宋"/>
          <w:kern w:val="0"/>
          <w:sz w:val="32"/>
          <w:szCs w:val="32"/>
          <w:lang w:eastAsia="zh-CN"/>
        </w:rPr>
        <w:t>计划生育宣传指导站、卫生监督所、计划生育协会</w:t>
      </w:r>
      <w:r>
        <w:rPr>
          <w:rFonts w:hint="eastAsia" w:ascii="仿宋" w:hAnsi="仿宋" w:eastAsia="仿宋" w:cs="仿宋"/>
          <w:kern w:val="0"/>
          <w:sz w:val="32"/>
          <w:szCs w:val="32"/>
        </w:rPr>
        <w:t>。</w:t>
      </w:r>
      <w:r>
        <w:rPr>
          <w:rFonts w:hint="eastAsia" w:ascii="仿宋" w:hAnsi="仿宋" w:eastAsia="仿宋" w:cs="仿宋"/>
          <w:kern w:val="0"/>
          <w:sz w:val="32"/>
          <w:szCs w:val="32"/>
          <w:highlight w:val="none"/>
          <w:lang w:val="en-US" w:eastAsia="zh-CN"/>
        </w:rPr>
        <w:t>民丰县卫生健康委员会</w:t>
      </w:r>
      <w:r>
        <w:rPr>
          <w:rFonts w:hint="eastAsia" w:ascii="仿宋" w:hAnsi="仿宋" w:eastAsia="仿宋" w:cs="仿宋"/>
          <w:kern w:val="0"/>
          <w:sz w:val="32"/>
          <w:szCs w:val="32"/>
          <w:highlight w:val="none"/>
        </w:rPr>
        <w:t>编制数</w:t>
      </w:r>
      <w:r>
        <w:rPr>
          <w:rFonts w:hint="eastAsia" w:ascii="仿宋" w:hAnsi="仿宋" w:eastAsia="仿宋" w:cs="仿宋"/>
          <w:color w:val="auto"/>
          <w:kern w:val="0"/>
          <w:sz w:val="32"/>
          <w:szCs w:val="32"/>
          <w:highlight w:val="none"/>
          <w:lang w:val="en-US" w:eastAsia="zh-CN"/>
        </w:rPr>
        <w:t>73</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103</w:t>
      </w:r>
      <w:r>
        <w:rPr>
          <w:rFonts w:hint="eastAsia" w:ascii="仿宋" w:hAnsi="仿宋" w:eastAsia="仿宋" w:cs="仿宋"/>
          <w:color w:val="auto"/>
          <w:kern w:val="0"/>
          <w:sz w:val="32"/>
          <w:szCs w:val="32"/>
          <w:highlight w:val="none"/>
        </w:rPr>
        <w:t>人</w:t>
      </w:r>
      <w:r>
        <w:rPr>
          <w:rFonts w:hint="eastAsia" w:ascii="仿宋" w:hAnsi="仿宋" w:eastAsia="仿宋" w:cs="仿宋"/>
          <w:color w:val="auto"/>
          <w:kern w:val="0"/>
          <w:sz w:val="32"/>
          <w:szCs w:val="32"/>
          <w:highlight w:val="none"/>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600" w:lineRule="exact"/>
        <w:ind w:firstLine="641"/>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县卫生健康委员会贯彻落实党中央、自治区党委关于卫生健康工作的方针政策和决策部署以及地委、县委工作要求，在履行职责过程中坚持和加强党对卫生健康工作的集中统一领导。主要职责：</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（1）统筹规划县卫生健康资源配置，指导区域卫生健康规划的编制和实施。制定并组织实施推进卫生健康基本公共服务均等化、普惠化、便捷化和公共资源向基层延伸等政策措施。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协调推进深化医药卫生体制改革，研究提出深化医药卫生体制改革重大政策、措施。组织深化公立医院综合改革，推进管办分离，健全现代医院管理制度，制定并组织实施推动卫生健康公共服务提供主体多元化、提供方式多样化的政策措施，提出医疗服务和药品价格政策的建议。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3）制定并落实疾病预防控制规划、免疫规划及严重危害人民健康的公共卫生问题的干预措施。执行国家检疫传染病和监测传染病目录。负责卫生应急工作，组织和指导县突发公共卫生事件预防控制、应急处置和各类突发公共事件的医疗卫生救援。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（4）组织拟订并协调落实应对人口老龄化政策措施，负责推进老年健康服务体系建设和医养结合工作。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5）贯彻落实国家药物政策和国家基本药物制度，开展药物使用监管、临床综合评价和短缺药品预警。执行国家药品法典，提出基本药物价格政策的建议。组织开展食品安全风险监督评估，依法制定并公布食品安全标准。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（6）负责职责范围内的职业卫生、放射卫生、环境卫生、学校卫生、公共场所卫生、饮用水卫生等公共卫生和监督管理，负责传染病防治监督，健全卫生健康综合监督体系。</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7）制定医疗机构、医疗服务行业管理办法并监督实施。建立医疗服务评价和监督管理体系。会同有关部门贯彻执行国家卫生健康专业技术人员资格标准。组织实施医疗服务规范、标准和卫生健康专业技术人员执业规则、服务规范。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（8）负责计划生育管理和服务工作，开展人口监测预警，研究提出人口与家庭发展相关政策建议，完善计划生育政策。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（9）指导县直、乡（镇）医疗机构做好卫生健康工作，指导加强基层医疗卫生、妇幼健康服务体系建设和全科医生队伍建设，推进卫生健康科技创新发展。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（10）负责保健对象的医疗保障工作，负责重要会议与重大活动的医疗卫生保障工作。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（11）承担县老龄委员会的日常工作。指导县计划生育协会的业务工作。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（12）承办县委、政府交办的其他事项。</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13）职能转变。县卫生健康委员会应当牢固树立大卫生、大健康理念，推动实施健康中国、健康民丰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偏远地区和生活困难群众倾斜。三是更加注重提高服务质量和水平，推进卫生健康公共服务均等化、普惠化、便捷化。四是协调推进深化医药卫生体制改革，加大公立医院改革力度，推进管办分开，推动卫生健康公共服务提供主体多元化、提供方式多样化。</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（14）有关职责分工。</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与县发展和改革委员会的有关职责分工。县卫生健康委员会负责开展人口监测预警工作，实施生育政策，研究提出与生育相关的人口数量、素质、结构、分布方面的政策建议，促进生育政策和相关经济社会政策配套衔接，参与制定人口发展规划和政策，落实国家、自治区、地区和县人口规划中的有关任务。县发展和改革委员会负责组织监测和评估人口变动情况及趋势影响，建立人口预测预报制度，开展重大决策人口影响评估，完善重大人口政策咨询机制，研究提出县人口发展战略，拟订人口发展规划，研究提出人口与经济、社会、资源、环境协调可持续发展，以及统筹促进人口长期均衡发展的政策建议。</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与县民政局的有关职责分工。县卫生健康委员会负责拟订应对人口老龄化、医养结合措施，综合协调、督促指导，组织推进县老龄事业发展，承担老年疾病防治、老年人医疗照护、老年人心理健康与关怀服务等老年健康工作。县民政局负责统筹推进、督促指导、监督管理县养老服务工作，拟订养老服务体系建设规划并组织实施，承担老年人福利和特殊困难老年人救助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与县市场监督管理局的有关职责分工。县卫生健康委员会负责食品安全风险评估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4.与县医疗保障局的有关职责分工。县卫生健康委员会、县医疗保障局等部门在医疗、医保、医药等方面加强制度、政策衔接，建立沟通协商机制，协同推进改革，提高医疗资源使用效率和医疗保障水平。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1.实施方案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2.专家论证意见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lang w:val="en-US" w:eastAsia="zh-CN"/>
        </w:rPr>
        <w:t>《</w:t>
      </w:r>
      <w:r>
        <w:rPr>
          <w:rFonts w:hint="eastAsia" w:ascii="仿宋" w:hAnsi="仿宋" w:eastAsia="仿宋" w:cs="仿宋"/>
          <w:color w:val="auto"/>
          <w:kern w:val="2"/>
          <w:sz w:val="32"/>
          <w:szCs w:val="32"/>
          <w:lang w:val="en-US" w:eastAsia="zh-CN" w:bidi="ar-SA"/>
        </w:rPr>
        <w:t>县配套农牧民计划生育免费手术技术服务经费</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《和田地区财政资金使用跟踪反馈管理暂行办法》</w:t>
      </w:r>
    </w:p>
    <w:p>
      <w:pPr>
        <w:pStyle w:val="2"/>
        <w:rPr>
          <w:rFonts w:hint="eastAsia" w:ascii="仿宋" w:hAnsi="仿宋" w:eastAsia="仿宋" w:cs="仿宋"/>
          <w:sz w:val="32"/>
          <w:szCs w:val="32"/>
          <w:lang w:val="en-US" w:eastAsia="zh-CN"/>
        </w:rPr>
      </w:pPr>
      <w:r>
        <w:rPr>
          <w:rStyle w:val="12"/>
          <w:rFonts w:hint="eastAsia" w:ascii="仿宋" w:hAnsi="仿宋" w:eastAsia="仿宋" w:cs="仿宋"/>
          <w:b w:val="0"/>
          <w:sz w:val="32"/>
          <w:szCs w:val="32"/>
        </w:rPr>
        <w:t>《财政预算资金拨付管理暂行办法》</w:t>
      </w:r>
    </w:p>
    <w:p>
      <w:pPr>
        <w:pStyle w:val="2"/>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B5FFCFA"/>
    <w:multiLevelType w:val="singleLevel"/>
    <w:tmpl w:val="5B5FFCFA"/>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abstractNum w:abstractNumId="3">
    <w:nsid w:val="7E9A1150"/>
    <w:multiLevelType w:val="singleLevel"/>
    <w:tmpl w:val="7E9A1150"/>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CF3A5D"/>
    <w:rsid w:val="00F11E6D"/>
    <w:rsid w:val="01003464"/>
    <w:rsid w:val="01054869"/>
    <w:rsid w:val="013E0208"/>
    <w:rsid w:val="015D6FAE"/>
    <w:rsid w:val="016611EA"/>
    <w:rsid w:val="018D3C1F"/>
    <w:rsid w:val="01952116"/>
    <w:rsid w:val="01DE4F97"/>
    <w:rsid w:val="020E2A38"/>
    <w:rsid w:val="023B6478"/>
    <w:rsid w:val="02441943"/>
    <w:rsid w:val="028D0607"/>
    <w:rsid w:val="029A0A2C"/>
    <w:rsid w:val="02B50645"/>
    <w:rsid w:val="02D053DF"/>
    <w:rsid w:val="03316484"/>
    <w:rsid w:val="03442FFC"/>
    <w:rsid w:val="048248A9"/>
    <w:rsid w:val="04C402FF"/>
    <w:rsid w:val="04F66797"/>
    <w:rsid w:val="04FF4FEB"/>
    <w:rsid w:val="051D5A53"/>
    <w:rsid w:val="05453501"/>
    <w:rsid w:val="056370A6"/>
    <w:rsid w:val="0624262D"/>
    <w:rsid w:val="062F0312"/>
    <w:rsid w:val="06C5743D"/>
    <w:rsid w:val="06F33AB3"/>
    <w:rsid w:val="06F50ADD"/>
    <w:rsid w:val="081D2AE1"/>
    <w:rsid w:val="083D4B34"/>
    <w:rsid w:val="084B2109"/>
    <w:rsid w:val="08AE13C8"/>
    <w:rsid w:val="08C600AA"/>
    <w:rsid w:val="08D9103A"/>
    <w:rsid w:val="09037F81"/>
    <w:rsid w:val="093443BE"/>
    <w:rsid w:val="09855E39"/>
    <w:rsid w:val="09A9167B"/>
    <w:rsid w:val="09AE1863"/>
    <w:rsid w:val="09B87218"/>
    <w:rsid w:val="09BB4B33"/>
    <w:rsid w:val="09E324BB"/>
    <w:rsid w:val="0A2A388C"/>
    <w:rsid w:val="0A5B7D36"/>
    <w:rsid w:val="0AAA6A10"/>
    <w:rsid w:val="0B1A2168"/>
    <w:rsid w:val="0B396CF2"/>
    <w:rsid w:val="0BC010AA"/>
    <w:rsid w:val="0BEF7BAC"/>
    <w:rsid w:val="0C0B76CB"/>
    <w:rsid w:val="0C1408A2"/>
    <w:rsid w:val="0C5D450C"/>
    <w:rsid w:val="0CD97160"/>
    <w:rsid w:val="0D735489"/>
    <w:rsid w:val="0D871459"/>
    <w:rsid w:val="0E1136FA"/>
    <w:rsid w:val="0E1F7EE3"/>
    <w:rsid w:val="0E5C4623"/>
    <w:rsid w:val="0E6E1D7A"/>
    <w:rsid w:val="0EED2D82"/>
    <w:rsid w:val="0F3F0A88"/>
    <w:rsid w:val="0F9C2846"/>
    <w:rsid w:val="0FA56207"/>
    <w:rsid w:val="0FD659DE"/>
    <w:rsid w:val="0FED7C80"/>
    <w:rsid w:val="100E4185"/>
    <w:rsid w:val="101C44CA"/>
    <w:rsid w:val="108E1F4B"/>
    <w:rsid w:val="10E66A06"/>
    <w:rsid w:val="11541EAC"/>
    <w:rsid w:val="116A39F3"/>
    <w:rsid w:val="11E62032"/>
    <w:rsid w:val="124475C0"/>
    <w:rsid w:val="12500305"/>
    <w:rsid w:val="127D22E8"/>
    <w:rsid w:val="12A34336"/>
    <w:rsid w:val="12B10B1A"/>
    <w:rsid w:val="12E74AA5"/>
    <w:rsid w:val="13236DB9"/>
    <w:rsid w:val="133A7289"/>
    <w:rsid w:val="13F32B33"/>
    <w:rsid w:val="140F11BE"/>
    <w:rsid w:val="143C2425"/>
    <w:rsid w:val="144F2B6E"/>
    <w:rsid w:val="14AC247C"/>
    <w:rsid w:val="14C76EEA"/>
    <w:rsid w:val="15953456"/>
    <w:rsid w:val="15980F03"/>
    <w:rsid w:val="15C50BAE"/>
    <w:rsid w:val="15DA1AE2"/>
    <w:rsid w:val="16181E76"/>
    <w:rsid w:val="16E846AC"/>
    <w:rsid w:val="17104F41"/>
    <w:rsid w:val="171A0E2E"/>
    <w:rsid w:val="177E0220"/>
    <w:rsid w:val="17DA7A45"/>
    <w:rsid w:val="17F515A4"/>
    <w:rsid w:val="18A5269F"/>
    <w:rsid w:val="18BB22DE"/>
    <w:rsid w:val="18C5724C"/>
    <w:rsid w:val="18F5208F"/>
    <w:rsid w:val="190D0125"/>
    <w:rsid w:val="19BD0569"/>
    <w:rsid w:val="19C53504"/>
    <w:rsid w:val="19FC7DC3"/>
    <w:rsid w:val="1A2069B5"/>
    <w:rsid w:val="1A3F4E5A"/>
    <w:rsid w:val="1AED67B7"/>
    <w:rsid w:val="1AF2441A"/>
    <w:rsid w:val="1AFD7E1D"/>
    <w:rsid w:val="1B1833DD"/>
    <w:rsid w:val="1B6D2A3D"/>
    <w:rsid w:val="1B846282"/>
    <w:rsid w:val="1BD6480C"/>
    <w:rsid w:val="1BF86A46"/>
    <w:rsid w:val="1C2A4CC1"/>
    <w:rsid w:val="1C5822F6"/>
    <w:rsid w:val="1C675967"/>
    <w:rsid w:val="1C6D6F94"/>
    <w:rsid w:val="1C90583C"/>
    <w:rsid w:val="1CDC3433"/>
    <w:rsid w:val="1D094B5A"/>
    <w:rsid w:val="1D2A2BC3"/>
    <w:rsid w:val="1D2C7E00"/>
    <w:rsid w:val="1D6337F7"/>
    <w:rsid w:val="1D8071C9"/>
    <w:rsid w:val="1D811C8B"/>
    <w:rsid w:val="1DC55B79"/>
    <w:rsid w:val="1DCD0432"/>
    <w:rsid w:val="1DF448FC"/>
    <w:rsid w:val="1E7E35C2"/>
    <w:rsid w:val="1E9F6AD0"/>
    <w:rsid w:val="1EF55CF3"/>
    <w:rsid w:val="1F1D3673"/>
    <w:rsid w:val="1FE83678"/>
    <w:rsid w:val="201662C5"/>
    <w:rsid w:val="201961B2"/>
    <w:rsid w:val="20311205"/>
    <w:rsid w:val="20397AF8"/>
    <w:rsid w:val="20764F86"/>
    <w:rsid w:val="208E4E20"/>
    <w:rsid w:val="20C74BE2"/>
    <w:rsid w:val="20DE327E"/>
    <w:rsid w:val="20EE5F93"/>
    <w:rsid w:val="20F23CAF"/>
    <w:rsid w:val="21393877"/>
    <w:rsid w:val="21431117"/>
    <w:rsid w:val="21473D45"/>
    <w:rsid w:val="21B6514D"/>
    <w:rsid w:val="21E97E9F"/>
    <w:rsid w:val="21F9537E"/>
    <w:rsid w:val="224D3D43"/>
    <w:rsid w:val="225754E8"/>
    <w:rsid w:val="227253D3"/>
    <w:rsid w:val="22F02F92"/>
    <w:rsid w:val="233317E1"/>
    <w:rsid w:val="233D2223"/>
    <w:rsid w:val="238E08B1"/>
    <w:rsid w:val="24032071"/>
    <w:rsid w:val="243B7DDA"/>
    <w:rsid w:val="243F6E75"/>
    <w:rsid w:val="244664A7"/>
    <w:rsid w:val="246B2D18"/>
    <w:rsid w:val="249B2350"/>
    <w:rsid w:val="253761F4"/>
    <w:rsid w:val="256A3A54"/>
    <w:rsid w:val="25B440FD"/>
    <w:rsid w:val="25B60E72"/>
    <w:rsid w:val="25D57DAD"/>
    <w:rsid w:val="25D91A6E"/>
    <w:rsid w:val="25E053D5"/>
    <w:rsid w:val="25E556FF"/>
    <w:rsid w:val="25FA7938"/>
    <w:rsid w:val="267601BD"/>
    <w:rsid w:val="26901D18"/>
    <w:rsid w:val="26DD4C0F"/>
    <w:rsid w:val="26E240B6"/>
    <w:rsid w:val="275E5166"/>
    <w:rsid w:val="277942F2"/>
    <w:rsid w:val="28361A5A"/>
    <w:rsid w:val="28D01E46"/>
    <w:rsid w:val="292561EF"/>
    <w:rsid w:val="29BC098F"/>
    <w:rsid w:val="2A5461A7"/>
    <w:rsid w:val="2A656172"/>
    <w:rsid w:val="2A8A36C4"/>
    <w:rsid w:val="2A8E7BD3"/>
    <w:rsid w:val="2A943931"/>
    <w:rsid w:val="2ACB416E"/>
    <w:rsid w:val="2AE01B8C"/>
    <w:rsid w:val="2AF50BFD"/>
    <w:rsid w:val="2B201276"/>
    <w:rsid w:val="2B39119E"/>
    <w:rsid w:val="2B4C43A8"/>
    <w:rsid w:val="2B650AF2"/>
    <w:rsid w:val="2B85322B"/>
    <w:rsid w:val="2B971008"/>
    <w:rsid w:val="2BC66837"/>
    <w:rsid w:val="2C0C3782"/>
    <w:rsid w:val="2C0E7826"/>
    <w:rsid w:val="2C2D141C"/>
    <w:rsid w:val="2CC259C4"/>
    <w:rsid w:val="2D1550A4"/>
    <w:rsid w:val="2D202C76"/>
    <w:rsid w:val="2D2D1385"/>
    <w:rsid w:val="2D666E4B"/>
    <w:rsid w:val="2DE00031"/>
    <w:rsid w:val="2DF15DFD"/>
    <w:rsid w:val="2DF9711E"/>
    <w:rsid w:val="2E0C5F32"/>
    <w:rsid w:val="2E413A5C"/>
    <w:rsid w:val="2EB85E49"/>
    <w:rsid w:val="2ECC2D36"/>
    <w:rsid w:val="2EF20553"/>
    <w:rsid w:val="2F14784F"/>
    <w:rsid w:val="2F5D13E8"/>
    <w:rsid w:val="2F81408F"/>
    <w:rsid w:val="2F976B05"/>
    <w:rsid w:val="2FAE2071"/>
    <w:rsid w:val="2FFA6DE3"/>
    <w:rsid w:val="2FFC1048"/>
    <w:rsid w:val="30370CE7"/>
    <w:rsid w:val="305119C6"/>
    <w:rsid w:val="30834838"/>
    <w:rsid w:val="316005CA"/>
    <w:rsid w:val="31BA1F08"/>
    <w:rsid w:val="31BF65A1"/>
    <w:rsid w:val="31F54E76"/>
    <w:rsid w:val="32061986"/>
    <w:rsid w:val="322F7F95"/>
    <w:rsid w:val="32400D9D"/>
    <w:rsid w:val="32A04722"/>
    <w:rsid w:val="337A0897"/>
    <w:rsid w:val="33B456FA"/>
    <w:rsid w:val="34070494"/>
    <w:rsid w:val="34085CD3"/>
    <w:rsid w:val="34406AEB"/>
    <w:rsid w:val="34F125F4"/>
    <w:rsid w:val="34FB2401"/>
    <w:rsid w:val="35062951"/>
    <w:rsid w:val="35586770"/>
    <w:rsid w:val="361F00E6"/>
    <w:rsid w:val="36494625"/>
    <w:rsid w:val="364C3CCF"/>
    <w:rsid w:val="364E633A"/>
    <w:rsid w:val="367C61D6"/>
    <w:rsid w:val="3700231F"/>
    <w:rsid w:val="37314123"/>
    <w:rsid w:val="37535DB9"/>
    <w:rsid w:val="376626F1"/>
    <w:rsid w:val="3773532D"/>
    <w:rsid w:val="37F05A02"/>
    <w:rsid w:val="37FE6A65"/>
    <w:rsid w:val="3825394A"/>
    <w:rsid w:val="38A64651"/>
    <w:rsid w:val="392F6990"/>
    <w:rsid w:val="39516C4E"/>
    <w:rsid w:val="39615F39"/>
    <w:rsid w:val="397607DB"/>
    <w:rsid w:val="397B0692"/>
    <w:rsid w:val="39E41117"/>
    <w:rsid w:val="39F118B9"/>
    <w:rsid w:val="3A1E5BAB"/>
    <w:rsid w:val="3A3C7EEF"/>
    <w:rsid w:val="3A721A6F"/>
    <w:rsid w:val="3A8C361B"/>
    <w:rsid w:val="3AD1374D"/>
    <w:rsid w:val="3B1C0595"/>
    <w:rsid w:val="3B2C53E9"/>
    <w:rsid w:val="3B4A7EBC"/>
    <w:rsid w:val="3B6F178F"/>
    <w:rsid w:val="3B7A677E"/>
    <w:rsid w:val="3B842124"/>
    <w:rsid w:val="3C174189"/>
    <w:rsid w:val="3C482A47"/>
    <w:rsid w:val="3C484CE8"/>
    <w:rsid w:val="3C8E3EE0"/>
    <w:rsid w:val="3D025608"/>
    <w:rsid w:val="3D1C7968"/>
    <w:rsid w:val="3D2730D3"/>
    <w:rsid w:val="3D35359E"/>
    <w:rsid w:val="3D516A21"/>
    <w:rsid w:val="3D807338"/>
    <w:rsid w:val="3DCA4EA9"/>
    <w:rsid w:val="3DEA7368"/>
    <w:rsid w:val="3E722AE1"/>
    <w:rsid w:val="3E975F6D"/>
    <w:rsid w:val="3ECE6B68"/>
    <w:rsid w:val="3F390902"/>
    <w:rsid w:val="3FCE532D"/>
    <w:rsid w:val="3FE117F2"/>
    <w:rsid w:val="401C3517"/>
    <w:rsid w:val="40736A77"/>
    <w:rsid w:val="409D3644"/>
    <w:rsid w:val="40AD6D70"/>
    <w:rsid w:val="40CD3266"/>
    <w:rsid w:val="412F4064"/>
    <w:rsid w:val="41C8702B"/>
    <w:rsid w:val="423C34A3"/>
    <w:rsid w:val="423F3E14"/>
    <w:rsid w:val="42A00E6C"/>
    <w:rsid w:val="42D3318F"/>
    <w:rsid w:val="432A543E"/>
    <w:rsid w:val="434B464C"/>
    <w:rsid w:val="43BD20C6"/>
    <w:rsid w:val="43EB4276"/>
    <w:rsid w:val="441253AF"/>
    <w:rsid w:val="445F7B87"/>
    <w:rsid w:val="454F5806"/>
    <w:rsid w:val="456D7650"/>
    <w:rsid w:val="469F374B"/>
    <w:rsid w:val="46A07351"/>
    <w:rsid w:val="46B03C17"/>
    <w:rsid w:val="46B82D4C"/>
    <w:rsid w:val="46D41550"/>
    <w:rsid w:val="472A270B"/>
    <w:rsid w:val="476C6DBC"/>
    <w:rsid w:val="47B04F1B"/>
    <w:rsid w:val="47E44A8A"/>
    <w:rsid w:val="47EA0B06"/>
    <w:rsid w:val="47F64860"/>
    <w:rsid w:val="48456F93"/>
    <w:rsid w:val="485A270D"/>
    <w:rsid w:val="48820632"/>
    <w:rsid w:val="48CC2F48"/>
    <w:rsid w:val="48FC00D6"/>
    <w:rsid w:val="492B2C83"/>
    <w:rsid w:val="49A11CAE"/>
    <w:rsid w:val="4A4A53F5"/>
    <w:rsid w:val="4A66296B"/>
    <w:rsid w:val="4AED6187"/>
    <w:rsid w:val="4B0B6050"/>
    <w:rsid w:val="4B284138"/>
    <w:rsid w:val="4BCE04CE"/>
    <w:rsid w:val="4C0D65B0"/>
    <w:rsid w:val="4C404649"/>
    <w:rsid w:val="4C665EA0"/>
    <w:rsid w:val="4CDB3606"/>
    <w:rsid w:val="4D293056"/>
    <w:rsid w:val="4D301742"/>
    <w:rsid w:val="4D4E601A"/>
    <w:rsid w:val="4D841A4B"/>
    <w:rsid w:val="4D9D7F5D"/>
    <w:rsid w:val="4DA242A1"/>
    <w:rsid w:val="4E0C1C90"/>
    <w:rsid w:val="4E2E73D9"/>
    <w:rsid w:val="4E360A1B"/>
    <w:rsid w:val="4E5E5023"/>
    <w:rsid w:val="4EEE29CC"/>
    <w:rsid w:val="4FB47F8D"/>
    <w:rsid w:val="4FDC6038"/>
    <w:rsid w:val="502F050E"/>
    <w:rsid w:val="50B36A43"/>
    <w:rsid w:val="50DE6A72"/>
    <w:rsid w:val="512C21AD"/>
    <w:rsid w:val="513A4A0C"/>
    <w:rsid w:val="515D203B"/>
    <w:rsid w:val="51731038"/>
    <w:rsid w:val="517E2E87"/>
    <w:rsid w:val="51DA507E"/>
    <w:rsid w:val="51E151ED"/>
    <w:rsid w:val="52234B87"/>
    <w:rsid w:val="528D5F6D"/>
    <w:rsid w:val="529F3AC9"/>
    <w:rsid w:val="52B25F78"/>
    <w:rsid w:val="52BB3184"/>
    <w:rsid w:val="53980E8A"/>
    <w:rsid w:val="539A0105"/>
    <w:rsid w:val="53A065BD"/>
    <w:rsid w:val="53AD7A19"/>
    <w:rsid w:val="53D30C8E"/>
    <w:rsid w:val="546A1E8D"/>
    <w:rsid w:val="547D4F88"/>
    <w:rsid w:val="54883071"/>
    <w:rsid w:val="54A9646A"/>
    <w:rsid w:val="54AA2DFE"/>
    <w:rsid w:val="55004D62"/>
    <w:rsid w:val="550A54F0"/>
    <w:rsid w:val="5529221D"/>
    <w:rsid w:val="554A2391"/>
    <w:rsid w:val="55B9278C"/>
    <w:rsid w:val="55E91885"/>
    <w:rsid w:val="5696324F"/>
    <w:rsid w:val="56EE5C96"/>
    <w:rsid w:val="56F42115"/>
    <w:rsid w:val="572267AA"/>
    <w:rsid w:val="57455284"/>
    <w:rsid w:val="57652D51"/>
    <w:rsid w:val="57777A19"/>
    <w:rsid w:val="57D761A5"/>
    <w:rsid w:val="58154C4E"/>
    <w:rsid w:val="58623BF8"/>
    <w:rsid w:val="58A83203"/>
    <w:rsid w:val="58CF5D32"/>
    <w:rsid w:val="58D35DD1"/>
    <w:rsid w:val="58D7335B"/>
    <w:rsid w:val="58EC2DBC"/>
    <w:rsid w:val="58FD4E82"/>
    <w:rsid w:val="592E39B3"/>
    <w:rsid w:val="593E7BB8"/>
    <w:rsid w:val="59402FE3"/>
    <w:rsid w:val="59565786"/>
    <w:rsid w:val="595F6581"/>
    <w:rsid w:val="59B53DEC"/>
    <w:rsid w:val="59BF354A"/>
    <w:rsid w:val="5A47403B"/>
    <w:rsid w:val="5A567AF4"/>
    <w:rsid w:val="5AB526C9"/>
    <w:rsid w:val="5AB82A9D"/>
    <w:rsid w:val="5ADC6962"/>
    <w:rsid w:val="5B1954BB"/>
    <w:rsid w:val="5B2E3EA6"/>
    <w:rsid w:val="5C12604D"/>
    <w:rsid w:val="5C6F2BA8"/>
    <w:rsid w:val="5D365CAA"/>
    <w:rsid w:val="5D4E431E"/>
    <w:rsid w:val="5E0A6E1D"/>
    <w:rsid w:val="5E1826F4"/>
    <w:rsid w:val="5E200EDC"/>
    <w:rsid w:val="5E2B343A"/>
    <w:rsid w:val="5EB54F6C"/>
    <w:rsid w:val="5ECD572D"/>
    <w:rsid w:val="5EF920F0"/>
    <w:rsid w:val="5F0A79ED"/>
    <w:rsid w:val="5F2148C4"/>
    <w:rsid w:val="5F281735"/>
    <w:rsid w:val="5F540ABC"/>
    <w:rsid w:val="5F9B5736"/>
    <w:rsid w:val="5F9D2CE0"/>
    <w:rsid w:val="5FA52ED3"/>
    <w:rsid w:val="604757AA"/>
    <w:rsid w:val="607A1F3D"/>
    <w:rsid w:val="608C05CF"/>
    <w:rsid w:val="60991858"/>
    <w:rsid w:val="60EB6A4A"/>
    <w:rsid w:val="618D3A69"/>
    <w:rsid w:val="619E41FB"/>
    <w:rsid w:val="61B65781"/>
    <w:rsid w:val="61F71B20"/>
    <w:rsid w:val="62136EA9"/>
    <w:rsid w:val="624A5550"/>
    <w:rsid w:val="62586AED"/>
    <w:rsid w:val="62711DF8"/>
    <w:rsid w:val="627A626D"/>
    <w:rsid w:val="62907F02"/>
    <w:rsid w:val="62AC048E"/>
    <w:rsid w:val="62C428CB"/>
    <w:rsid w:val="62D44354"/>
    <w:rsid w:val="62FE736E"/>
    <w:rsid w:val="63232D81"/>
    <w:rsid w:val="63525110"/>
    <w:rsid w:val="635B43E3"/>
    <w:rsid w:val="63D26A20"/>
    <w:rsid w:val="63E04DC6"/>
    <w:rsid w:val="64146336"/>
    <w:rsid w:val="642C6C5F"/>
    <w:rsid w:val="642E1B9A"/>
    <w:rsid w:val="646E1E7F"/>
    <w:rsid w:val="64FD51A7"/>
    <w:rsid w:val="65585550"/>
    <w:rsid w:val="657610B9"/>
    <w:rsid w:val="65A77252"/>
    <w:rsid w:val="66FD2275"/>
    <w:rsid w:val="67097119"/>
    <w:rsid w:val="67184E82"/>
    <w:rsid w:val="6740230D"/>
    <w:rsid w:val="675E69C0"/>
    <w:rsid w:val="676A40B3"/>
    <w:rsid w:val="67993212"/>
    <w:rsid w:val="67A965C8"/>
    <w:rsid w:val="67B459C1"/>
    <w:rsid w:val="683D167D"/>
    <w:rsid w:val="68BB6E64"/>
    <w:rsid w:val="68C33DA9"/>
    <w:rsid w:val="68CB47DE"/>
    <w:rsid w:val="691368F2"/>
    <w:rsid w:val="696D62E0"/>
    <w:rsid w:val="69E37F8A"/>
    <w:rsid w:val="6AAD46D2"/>
    <w:rsid w:val="6AC622E1"/>
    <w:rsid w:val="6B495796"/>
    <w:rsid w:val="6B7F6CDF"/>
    <w:rsid w:val="6B9A1DFE"/>
    <w:rsid w:val="6BBC7F29"/>
    <w:rsid w:val="6BBF063B"/>
    <w:rsid w:val="6BCB641C"/>
    <w:rsid w:val="6BED5DF3"/>
    <w:rsid w:val="6C1E5D27"/>
    <w:rsid w:val="6C4C768B"/>
    <w:rsid w:val="6CE27501"/>
    <w:rsid w:val="6D277BCD"/>
    <w:rsid w:val="6D3779A6"/>
    <w:rsid w:val="6D8503CE"/>
    <w:rsid w:val="6DE328D8"/>
    <w:rsid w:val="6E322EB2"/>
    <w:rsid w:val="6E361EA1"/>
    <w:rsid w:val="6E365B50"/>
    <w:rsid w:val="6E643AB4"/>
    <w:rsid w:val="6EAD53FC"/>
    <w:rsid w:val="6EB524BB"/>
    <w:rsid w:val="6ECF2E60"/>
    <w:rsid w:val="6F18044A"/>
    <w:rsid w:val="6F493024"/>
    <w:rsid w:val="6F5535E5"/>
    <w:rsid w:val="6F7A2C81"/>
    <w:rsid w:val="6F7E3958"/>
    <w:rsid w:val="6FBD6F92"/>
    <w:rsid w:val="6FF40710"/>
    <w:rsid w:val="6FFC34E0"/>
    <w:rsid w:val="700B24AF"/>
    <w:rsid w:val="70277C83"/>
    <w:rsid w:val="70334A57"/>
    <w:rsid w:val="70651092"/>
    <w:rsid w:val="708A1B58"/>
    <w:rsid w:val="71162338"/>
    <w:rsid w:val="711733E9"/>
    <w:rsid w:val="71582C5C"/>
    <w:rsid w:val="71A9184B"/>
    <w:rsid w:val="71AD2A02"/>
    <w:rsid w:val="72497424"/>
    <w:rsid w:val="727461E0"/>
    <w:rsid w:val="72A34C18"/>
    <w:rsid w:val="730A2A5B"/>
    <w:rsid w:val="74175983"/>
    <w:rsid w:val="74270529"/>
    <w:rsid w:val="7471367B"/>
    <w:rsid w:val="74992165"/>
    <w:rsid w:val="757C10DA"/>
    <w:rsid w:val="759A6C8C"/>
    <w:rsid w:val="759D2574"/>
    <w:rsid w:val="75E35B61"/>
    <w:rsid w:val="76001EAC"/>
    <w:rsid w:val="760205C6"/>
    <w:rsid w:val="762E14C6"/>
    <w:rsid w:val="76337E79"/>
    <w:rsid w:val="768956BF"/>
    <w:rsid w:val="76A70E90"/>
    <w:rsid w:val="76C2766E"/>
    <w:rsid w:val="785A1719"/>
    <w:rsid w:val="785E0561"/>
    <w:rsid w:val="78831055"/>
    <w:rsid w:val="78A66C40"/>
    <w:rsid w:val="79151D45"/>
    <w:rsid w:val="79577D74"/>
    <w:rsid w:val="79BA1933"/>
    <w:rsid w:val="7A004C20"/>
    <w:rsid w:val="7A5E439F"/>
    <w:rsid w:val="7A805246"/>
    <w:rsid w:val="7A9167AD"/>
    <w:rsid w:val="7AC4146F"/>
    <w:rsid w:val="7B9A6432"/>
    <w:rsid w:val="7BA96187"/>
    <w:rsid w:val="7BF35895"/>
    <w:rsid w:val="7C531DBC"/>
    <w:rsid w:val="7C8A5DAD"/>
    <w:rsid w:val="7CA831D8"/>
    <w:rsid w:val="7CFF3C32"/>
    <w:rsid w:val="7D172F30"/>
    <w:rsid w:val="7DCA1438"/>
    <w:rsid w:val="7E485964"/>
    <w:rsid w:val="7EF84129"/>
    <w:rsid w:val="7F592753"/>
    <w:rsid w:val="7F6D288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0</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2020-05-19T15:16:33Z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