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auto"/>
          <w:sz w:val="32"/>
          <w:szCs w:val="32"/>
          <w:lang w:val="en-US" w:eastAsia="zh-CN"/>
        </w:rPr>
      </w:pPr>
    </w:p>
    <w:p>
      <w:pPr>
        <w:jc w:val="center"/>
        <w:rPr>
          <w:rFonts w:hint="eastAsia" w:ascii="仿宋" w:hAnsi="仿宋" w:eastAsia="仿宋" w:cs="仿宋"/>
          <w:b/>
          <w:bCs/>
          <w:color w:val="auto"/>
          <w:sz w:val="32"/>
          <w:szCs w:val="32"/>
          <w:lang w:val="en-US" w:eastAsia="zh-CN"/>
        </w:rPr>
      </w:pPr>
    </w:p>
    <w:p>
      <w:pPr>
        <w:pStyle w:val="3"/>
        <w:rPr>
          <w:rFonts w:hint="eastAsia" w:ascii="仿宋" w:hAnsi="仿宋" w:eastAsia="仿宋" w:cs="仿宋"/>
          <w:b/>
          <w:bCs/>
          <w:color w:val="auto"/>
          <w:sz w:val="32"/>
          <w:szCs w:val="32"/>
          <w:lang w:val="en-US" w:eastAsia="zh-CN"/>
        </w:rPr>
      </w:pPr>
    </w:p>
    <w:p>
      <w:pPr>
        <w:rPr>
          <w:rFonts w:hint="eastAsia" w:ascii="仿宋" w:hAnsi="仿宋" w:eastAsia="仿宋" w:cs="仿宋"/>
          <w:color w:val="auto"/>
          <w:sz w:val="32"/>
          <w:szCs w:val="32"/>
          <w:lang w:val="en-US" w:eastAsia="zh-CN"/>
        </w:rPr>
      </w:pPr>
    </w:p>
    <w:p>
      <w:pPr>
        <w:jc w:val="center"/>
        <w:rPr>
          <w:rFonts w:hint="eastAsia" w:ascii="仿宋" w:hAnsi="仿宋" w:eastAsia="仿宋" w:cs="仿宋"/>
          <w:b/>
          <w:bCs/>
          <w:color w:val="auto"/>
          <w:sz w:val="32"/>
          <w:szCs w:val="32"/>
          <w:lang w:val="en-US" w:eastAsia="zh-CN"/>
        </w:rPr>
      </w:pPr>
    </w:p>
    <w:p>
      <w:pPr>
        <w:jc w:val="center"/>
        <w:rPr>
          <w:rFonts w:hint="eastAsia" w:ascii="仿宋" w:hAnsi="仿宋" w:eastAsia="仿宋" w:cs="仿宋"/>
          <w:color w:val="auto"/>
          <w:sz w:val="52"/>
          <w:szCs w:val="52"/>
        </w:rPr>
      </w:pPr>
      <w:r>
        <w:rPr>
          <w:rFonts w:hint="eastAsia" w:ascii="仿宋" w:hAnsi="仿宋" w:eastAsia="仿宋" w:cs="仿宋"/>
          <w:b/>
          <w:bCs/>
          <w:color w:val="auto"/>
          <w:sz w:val="52"/>
          <w:szCs w:val="52"/>
        </w:rPr>
        <w:t>自治区财政支出事前绩效评估报告</w:t>
      </w:r>
    </w:p>
    <w:p>
      <w:pPr>
        <w:widowControl/>
        <w:jc w:val="center"/>
        <w:rPr>
          <w:rFonts w:hint="eastAsia" w:ascii="仿宋" w:hAnsi="仿宋" w:eastAsia="仿宋" w:cs="仿宋"/>
          <w:color w:val="auto"/>
          <w:kern w:val="0"/>
          <w:sz w:val="44"/>
          <w:szCs w:val="44"/>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pStyle w:val="5"/>
        <w:rPr>
          <w:rFonts w:hint="eastAsia" w:ascii="仿宋" w:hAnsi="仿宋" w:eastAsia="仿宋" w:cs="仿宋"/>
          <w:color w:val="auto"/>
          <w:kern w:val="0"/>
          <w:sz w:val="32"/>
          <w:szCs w:val="32"/>
        </w:rPr>
      </w:pPr>
    </w:p>
    <w:p>
      <w:pPr>
        <w:widowControl/>
        <w:rPr>
          <w:rFonts w:hint="eastAsia" w:ascii="仿宋" w:hAnsi="仿宋" w:eastAsia="仿宋" w:cs="仿宋"/>
          <w:b/>
          <w:bCs/>
          <w:color w:val="auto"/>
          <w:kern w:val="0"/>
          <w:sz w:val="32"/>
          <w:szCs w:val="32"/>
        </w:rPr>
      </w:pPr>
    </w:p>
    <w:p>
      <w:pPr>
        <w:ind w:firstLine="482" w:firstLineChars="150"/>
        <w:rPr>
          <w:rFonts w:hint="eastAsia" w:ascii="仿宋" w:hAnsi="仿宋" w:eastAsia="仿宋" w:cs="仿宋"/>
          <w:b/>
          <w:bCs/>
          <w:color w:val="auto"/>
          <w:kern w:val="2"/>
          <w:sz w:val="32"/>
          <w:szCs w:val="32"/>
          <w:lang w:val="en-US" w:eastAsia="zh-CN"/>
        </w:rPr>
      </w:pPr>
      <w:r>
        <w:rPr>
          <w:rFonts w:hint="eastAsia" w:ascii="仿宋" w:hAnsi="仿宋" w:eastAsia="仿宋" w:cs="仿宋"/>
          <w:b/>
          <w:bCs/>
          <w:color w:val="auto"/>
          <w:kern w:val="2"/>
          <w:sz w:val="32"/>
          <w:szCs w:val="32"/>
        </w:rPr>
        <w:t>项目名称</w:t>
      </w:r>
      <w:r>
        <w:rPr>
          <w:rFonts w:hint="eastAsia" w:ascii="仿宋" w:hAnsi="仿宋" w:eastAsia="仿宋" w:cs="仿宋"/>
          <w:b/>
          <w:bCs/>
          <w:color w:val="auto"/>
          <w:kern w:val="2"/>
          <w:sz w:val="32"/>
          <w:szCs w:val="32"/>
          <w:lang w:eastAsia="zh-CN"/>
        </w:rPr>
        <w:t>：绩效管理服务费</w:t>
      </w:r>
    </w:p>
    <w:p>
      <w:pPr>
        <w:pStyle w:val="18"/>
        <w:ind w:firstLine="482" w:firstLineChars="150"/>
        <w:jc w:val="left"/>
        <w:rPr>
          <w:rFonts w:hint="eastAsia" w:ascii="仿宋" w:hAnsi="仿宋" w:eastAsia="仿宋" w:cs="仿宋"/>
          <w:b/>
          <w:bCs/>
          <w:color w:val="auto"/>
          <w:sz w:val="32"/>
          <w:szCs w:val="32"/>
          <w:lang w:val="en-US" w:eastAsia="zh-CN"/>
        </w:rPr>
      </w:pPr>
      <w:r>
        <w:rPr>
          <w:rFonts w:hint="eastAsia" w:ascii="仿宋" w:hAnsi="仿宋" w:eastAsia="仿宋" w:cs="仿宋"/>
          <w:b/>
          <w:bCs/>
          <w:color w:val="auto"/>
          <w:kern w:val="2"/>
          <w:sz w:val="32"/>
          <w:szCs w:val="32"/>
        </w:rPr>
        <w:t>制定单位（盖章）：</w:t>
      </w:r>
      <w:r>
        <w:rPr>
          <w:rFonts w:hint="eastAsia" w:ascii="仿宋" w:hAnsi="仿宋" w:eastAsia="仿宋" w:cs="仿宋"/>
          <w:b/>
          <w:bCs/>
          <w:color w:val="auto"/>
          <w:sz w:val="32"/>
          <w:szCs w:val="32"/>
          <w:lang w:val="en-US" w:eastAsia="zh-CN"/>
        </w:rPr>
        <w:t>民丰县财政局</w:t>
      </w:r>
    </w:p>
    <w:p>
      <w:pPr>
        <w:pStyle w:val="18"/>
        <w:ind w:firstLine="1449" w:firstLineChars="453"/>
        <w:jc w:val="left"/>
        <w:rPr>
          <w:rFonts w:hint="eastAsia" w:ascii="仿宋" w:hAnsi="仿宋" w:eastAsia="仿宋" w:cs="仿宋"/>
          <w:color w:val="auto"/>
          <w:sz w:val="32"/>
          <w:szCs w:val="32"/>
          <w:lang w:eastAsia="zh-CN"/>
        </w:rPr>
      </w:pPr>
    </w:p>
    <w:p>
      <w:pPr>
        <w:pStyle w:val="18"/>
        <w:ind w:firstLine="1777" w:firstLineChars="553"/>
        <w:jc w:val="left"/>
        <w:rPr>
          <w:rFonts w:hint="eastAsia" w:ascii="仿宋" w:hAnsi="仿宋" w:eastAsia="仿宋" w:cs="仿宋"/>
          <w:b/>
          <w:color w:val="auto"/>
          <w:sz w:val="32"/>
          <w:szCs w:val="32"/>
        </w:rPr>
      </w:pPr>
      <w:r>
        <w:rPr>
          <w:rFonts w:hint="eastAsia" w:ascii="仿宋" w:hAnsi="仿宋" w:eastAsia="仿宋" w:cs="仿宋"/>
          <w:b/>
          <w:color w:val="auto"/>
          <w:sz w:val="32"/>
          <w:szCs w:val="32"/>
        </w:rPr>
        <w:t>评估时间：20</w:t>
      </w:r>
      <w:r>
        <w:rPr>
          <w:rFonts w:hint="eastAsia" w:ascii="仿宋" w:hAnsi="仿宋" w:eastAsia="仿宋" w:cs="仿宋"/>
          <w:b/>
          <w:color w:val="auto"/>
          <w:sz w:val="32"/>
          <w:szCs w:val="32"/>
          <w:lang w:val="en-US"/>
        </w:rPr>
        <w:t>20</w:t>
      </w:r>
      <w:r>
        <w:rPr>
          <w:rFonts w:hint="eastAsia" w:ascii="仿宋" w:hAnsi="仿宋" w:eastAsia="仿宋" w:cs="仿宋"/>
          <w:b/>
          <w:color w:val="auto"/>
          <w:sz w:val="32"/>
          <w:szCs w:val="32"/>
        </w:rPr>
        <w:t>年</w:t>
      </w:r>
      <w:r>
        <w:rPr>
          <w:rFonts w:hint="eastAsia" w:ascii="仿宋" w:hAnsi="仿宋" w:eastAsia="仿宋" w:cs="仿宋"/>
          <w:b/>
          <w:color w:val="auto"/>
          <w:sz w:val="32"/>
          <w:szCs w:val="32"/>
          <w:lang w:val="en-US" w:eastAsia="zh-CN"/>
        </w:rPr>
        <w:t>1</w:t>
      </w:r>
      <w:r>
        <w:rPr>
          <w:rFonts w:hint="eastAsia" w:ascii="仿宋" w:hAnsi="仿宋" w:eastAsia="仿宋" w:cs="仿宋"/>
          <w:b/>
          <w:color w:val="auto"/>
          <w:sz w:val="32"/>
          <w:szCs w:val="32"/>
        </w:rPr>
        <w:t>月</w:t>
      </w:r>
      <w:r>
        <w:rPr>
          <w:rFonts w:hint="eastAsia" w:ascii="仿宋" w:hAnsi="仿宋" w:eastAsia="仿宋" w:cs="仿宋"/>
          <w:b/>
          <w:color w:val="auto"/>
          <w:sz w:val="32"/>
          <w:szCs w:val="32"/>
          <w:lang w:val="en-US" w:eastAsia="zh-CN"/>
        </w:rPr>
        <w:t>25</w:t>
      </w:r>
      <w:bookmarkStart w:id="0" w:name="_GoBack"/>
      <w:bookmarkEnd w:id="0"/>
      <w:r>
        <w:rPr>
          <w:rFonts w:hint="eastAsia" w:ascii="仿宋" w:hAnsi="仿宋" w:eastAsia="仿宋" w:cs="仿宋"/>
          <w:b/>
          <w:color w:val="auto"/>
          <w:sz w:val="32"/>
          <w:szCs w:val="32"/>
        </w:rPr>
        <w:t>日</w:t>
      </w: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pStyle w:val="18"/>
        <w:jc w:val="left"/>
        <w:rPr>
          <w:rFonts w:hint="eastAsia" w:ascii="仿宋" w:hAnsi="仿宋" w:eastAsia="仿宋" w:cs="仿宋"/>
          <w:color w:val="auto"/>
          <w:sz w:val="32"/>
          <w:szCs w:val="32"/>
        </w:rPr>
      </w:pPr>
    </w:p>
    <w:p>
      <w:p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 xml:space="preserve">  根据中共中央、国务院《关于全面实施预算绩效管理的意见》（中发〔2018〕34号文）、自治区党委、自治区人民政府《关于全面实施预算绩效管理的实施意见》（新党发〔2018〕30号文）及《自治区财政支出事前绩效评估管理暂行办法》（新财预〔2019〕36号）文件要求，</w:t>
      </w:r>
      <w:r>
        <w:rPr>
          <w:rFonts w:hint="eastAsia" w:ascii="仿宋" w:hAnsi="仿宋" w:eastAsia="仿宋" w:cs="仿宋"/>
          <w:color w:val="auto"/>
          <w:sz w:val="32"/>
          <w:szCs w:val="32"/>
        </w:rPr>
        <w:t>秉承科学规范、公平公正、绩效相关的原则，</w:t>
      </w:r>
      <w:r>
        <w:rPr>
          <w:rFonts w:hint="eastAsia" w:ascii="仿宋" w:hAnsi="仿宋" w:eastAsia="仿宋" w:cs="仿宋"/>
          <w:color w:val="auto"/>
          <w:kern w:val="2"/>
          <w:sz w:val="32"/>
          <w:szCs w:val="32"/>
          <w:lang w:val="en-US" w:eastAsia="zh-CN" w:bidi="ar-SA"/>
        </w:rPr>
        <w:t xml:space="preserve">对我单位项目进行事前绩效评估，具体评估情况如下： </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一、评估对象概况</w:t>
      </w:r>
    </w:p>
    <w:p>
      <w:p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(一)立项依据</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40" w:firstLineChars="200"/>
        <w:jc w:val="left"/>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《中共中央、国务院关于全面实施预算绩效管理的意见》（中发〔2018〕34号）和《自治区党委 自治区人民政府关于全面实施预算绩效管理的实施意见》（新党发〔2018〕30号）</w:t>
      </w:r>
      <w:r>
        <w:rPr>
          <w:rFonts w:hint="default" w:ascii="仿宋" w:hAnsi="仿宋" w:eastAsia="仿宋" w:cs="仿宋"/>
          <w:color w:val="auto"/>
          <w:kern w:val="2"/>
          <w:sz w:val="32"/>
          <w:szCs w:val="32"/>
          <w:lang w:val="en-US" w:eastAsia="zh-CN" w:bidi="ar-SA"/>
        </w:rPr>
        <w:t>,明确要求各地要健全预算绩效管理制度，建立专家咨询机制，引导和规范第三方参与预算绩效管理，严格执业质量监督管理。</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40" w:firstLineChars="200"/>
        <w:jc w:val="left"/>
        <w:rPr>
          <w:rFonts w:hint="default" w:ascii="仿宋" w:hAnsi="仿宋" w:eastAsia="仿宋" w:cs="仿宋"/>
          <w:color w:val="auto"/>
          <w:kern w:val="2"/>
          <w:sz w:val="32"/>
          <w:szCs w:val="32"/>
          <w:lang w:val="en-US" w:eastAsia="zh-CN" w:bidi="ar-SA"/>
        </w:rPr>
      </w:pPr>
      <w:r>
        <w:rPr>
          <w:rFonts w:hint="default" w:ascii="仿宋" w:hAnsi="仿宋" w:eastAsia="仿宋" w:cs="仿宋"/>
          <w:color w:val="auto"/>
          <w:kern w:val="2"/>
          <w:sz w:val="32"/>
          <w:szCs w:val="32"/>
          <w:lang w:val="en-US" w:eastAsia="zh-CN" w:bidi="ar-SA"/>
        </w:rPr>
        <w:t>《财政部关于印发预算绩效考核工作的通知》（财预〔2015〕25号）省级财政部门应出台委托第三方绩效管理实施办法并实施动态管理；省级部门单位应委托第三方进行评价。新修订即将出台的预算绩效考核办法新增对县市区财政部门委托第三方独立开展绩效评价的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40" w:firstLineChars="200"/>
        <w:jc w:val="left"/>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为保证民丰县预算绩效全面开展，特设立此项目。</w:t>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（二）立项背景</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640" w:firstLineChars="200"/>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近年来，我国市场经济发展迅猛，相应的财政体制改革也开始不断推进，因此行政事业单位在我国社会公共事务当中发挥出越来越重要的作用。为了能够在此基础上充分保障行政事业单位的服务效率及资金安全有效性，我国财政部门于2012年颁发《行政事业单位内部控制规范(试行)》，同时在2014年开始正式实施。这项政策的颁布不但直接为我国行政事业单位的预算绩效管理指出了明确的改革发展方向，同时还应当为行政事业单位创造良好经济收益及社会效益提供强大动力。而行政事业单位当中的预算绩效管理作为预算管理改革的重点内容，也必须严格依照内部控制要求来进行持续完善与改进。</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绩效预算管理是单位全面预算管理的重要组成部分，单位绩效预算是以目标为导向、以项目成本为衡量、以业绩评估为核心的一种预算体制，是把资源分配的增加与绩效的提高紧密结合的预算系统。绩效管理的目的就是要实现成果和效率，在绩效预算管理中，单位作为整个社会经济运行体系中的一员，要实现社会效益，以完成其社会使命。</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三</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实施主体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绩效管理服务费项目</w:t>
      </w:r>
      <w:r>
        <w:rPr>
          <w:rFonts w:hint="eastAsia" w:ascii="仿宋" w:hAnsi="仿宋" w:eastAsia="仿宋" w:cs="仿宋"/>
          <w:b w:val="0"/>
          <w:bCs w:val="0"/>
          <w:color w:val="auto"/>
          <w:sz w:val="32"/>
          <w:szCs w:val="32"/>
        </w:rPr>
        <w:t>涉</w:t>
      </w:r>
      <w:r>
        <w:rPr>
          <w:rFonts w:hint="eastAsia" w:ascii="仿宋" w:hAnsi="仿宋" w:eastAsia="仿宋" w:cs="仿宋"/>
          <w:color w:val="auto"/>
          <w:sz w:val="32"/>
          <w:szCs w:val="32"/>
        </w:rPr>
        <w:t>及的相关主体为</w:t>
      </w:r>
      <w:r>
        <w:rPr>
          <w:rFonts w:hint="eastAsia" w:ascii="仿宋" w:hAnsi="仿宋" w:eastAsia="仿宋" w:cs="仿宋"/>
          <w:color w:val="auto"/>
          <w:sz w:val="32"/>
          <w:szCs w:val="32"/>
          <w:lang w:val="en-US" w:eastAsia="zh-CN"/>
        </w:rPr>
        <w:t>民丰县财政局。其单位职责如下：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1.负责</w:t>
      </w:r>
      <w:r>
        <w:rPr>
          <w:rFonts w:hint="eastAsia" w:ascii="仿宋" w:hAnsi="仿宋" w:eastAsia="仿宋" w:cs="仿宋"/>
          <w:b w:val="0"/>
          <w:bCs w:val="0"/>
          <w:color w:val="auto"/>
          <w:kern w:val="2"/>
          <w:sz w:val="32"/>
          <w:szCs w:val="32"/>
          <w:lang w:val="en-US" w:eastAsia="zh-CN"/>
        </w:rPr>
        <w:t>项目的</w:t>
      </w:r>
      <w:r>
        <w:rPr>
          <w:rFonts w:hint="eastAsia" w:ascii="仿宋" w:hAnsi="仿宋" w:eastAsia="仿宋" w:cs="仿宋"/>
          <w:color w:val="auto"/>
          <w:sz w:val="32"/>
          <w:szCs w:val="32"/>
        </w:rPr>
        <w:t>审批，建立健全项目资金的筹措、管理、申请、使用工作机制。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.负责拨付项目使用资金，并加强对</w:t>
      </w: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资金使用的监督和管理。财政和项目实施单位严格实行“三专”管理，即设专户、建专帐、定专人。同时，资金拨付除坚持按项目计划、进度和质量分阶段验收拨款外，还坚持部门联审制，项目单位先做事、后报帐，从而确保了专项资金专款专用，有效地防止了截留、挤占和</w:t>
      </w:r>
      <w:r>
        <w:rPr>
          <w:rFonts w:hint="eastAsia" w:ascii="仿宋" w:hAnsi="仿宋" w:eastAsia="仿宋" w:cs="仿宋"/>
          <w:color w:val="auto"/>
          <w:sz w:val="32"/>
          <w:szCs w:val="32"/>
          <w:lang w:eastAsia="zh-CN"/>
        </w:rPr>
        <w:t>挪</w:t>
      </w:r>
      <w:r>
        <w:rPr>
          <w:rFonts w:hint="eastAsia" w:ascii="仿宋" w:hAnsi="仿宋" w:eastAsia="仿宋" w:cs="仿宋"/>
          <w:color w:val="auto"/>
          <w:sz w:val="32"/>
          <w:szCs w:val="32"/>
        </w:rPr>
        <w:t>用。</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主要内容</w:t>
      </w:r>
    </w:p>
    <w:p>
      <w:pPr>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绩效管理服务费项目</w:t>
      </w:r>
      <w:r>
        <w:rPr>
          <w:rFonts w:hint="eastAsia" w:ascii="仿宋" w:hAnsi="仿宋" w:eastAsia="仿宋" w:cs="仿宋"/>
          <w:color w:val="auto"/>
          <w:sz w:val="32"/>
          <w:szCs w:val="32"/>
          <w:lang w:val="en-US" w:eastAsia="zh-CN"/>
        </w:rPr>
        <w:t xml:space="preserve">预算资300万元，该项目主要对民丰县全预算财政资金进行绩效管理，包括预算绩效事前评估、绩效目标管理、绩效目标动态监控、绩效评价及预算绩效相关培训辅导等工作。该项工作有利于提高民丰县预算管理水平和政策实施效果，推动财政资金聚力增效，提高公共服务供给质量，增强政府公信力和执行力。                            </w:t>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预算情况</w:t>
      </w:r>
    </w:p>
    <w:p>
      <w:pPr>
        <w:keepNext w:val="0"/>
        <w:keepLines w:val="0"/>
        <w:pageBreakBefore w:val="0"/>
        <w:kinsoku/>
        <w:wordWrap/>
        <w:overflowPunct/>
        <w:topLinePunct w:val="0"/>
        <w:autoSpaceDE/>
        <w:autoSpaceDN/>
        <w:bidi w:val="0"/>
        <w:adjustRightInd/>
        <w:snapToGrid/>
        <w:spacing w:line="600" w:lineRule="exact"/>
        <w:ind w:left="319" w:leftChars="152" w:firstLine="320" w:firstLineChars="100"/>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color w:val="auto"/>
          <w:kern w:val="2"/>
          <w:sz w:val="32"/>
          <w:szCs w:val="32"/>
          <w:lang w:val="en-US" w:eastAsia="zh-CN"/>
        </w:rPr>
        <w:t>该项目根据服务范围进行资金预算：</w:t>
      </w:r>
      <w:r>
        <w:rPr>
          <w:rFonts w:hint="eastAsia" w:ascii="仿宋" w:hAnsi="仿宋" w:eastAsia="仿宋" w:cs="仿宋"/>
          <w:color w:val="auto"/>
          <w:sz w:val="32"/>
          <w:szCs w:val="32"/>
          <w:lang w:val="en-US" w:eastAsia="zh-CN"/>
        </w:rPr>
        <w:t>预算资金300万元。</w:t>
      </w:r>
    </w:p>
    <w:p>
      <w:pPr>
        <w:ind w:firstLine="643" w:firstLineChars="200"/>
        <w:rPr>
          <w:rFonts w:hint="eastAsia" w:ascii="仿宋" w:hAnsi="仿宋" w:eastAsia="仿宋" w:cs="仿宋"/>
          <w:color w:val="auto"/>
          <w:sz w:val="32"/>
          <w:szCs w:val="32"/>
        </w:rPr>
      </w:pPr>
      <w:r>
        <w:rPr>
          <w:rFonts w:hint="eastAsia" w:ascii="仿宋" w:hAnsi="仿宋" w:eastAsia="仿宋" w:cs="仿宋"/>
          <w:b/>
          <w:bCs/>
          <w:color w:val="auto"/>
          <w:sz w:val="32"/>
          <w:szCs w:val="32"/>
        </w:rPr>
        <w:t>二、评估的方式方法</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（一）评估程序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1.组建评估工作组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评估工作组召开部门会议，对项目进行内部沟通，了解工作要求及重点工作内容，探讨制定工作程序及注意事项。</w:t>
      </w:r>
      <w:r>
        <w:rPr>
          <w:rFonts w:hint="eastAsia" w:ascii="仿宋" w:hAnsi="仿宋" w:eastAsia="仿宋" w:cs="仿宋"/>
          <w:color w:val="auto"/>
          <w:sz w:val="32"/>
          <w:szCs w:val="32"/>
          <w:lang w:eastAsia="zh-CN"/>
        </w:rPr>
        <w:t>评估工作组以入户通知书的形式通知项目单位，并明确评估的依据、内容、目的、任务、时间、要求等事项。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2.初步拟定事前评估工作方案</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评估工作组</w:t>
      </w:r>
      <w:r>
        <w:rPr>
          <w:rFonts w:hint="eastAsia" w:ascii="仿宋" w:hAnsi="仿宋" w:eastAsia="仿宋" w:cs="仿宋"/>
          <w:color w:val="auto"/>
          <w:sz w:val="32"/>
          <w:szCs w:val="32"/>
        </w:rPr>
        <w:t>按照</w:t>
      </w:r>
      <w:r>
        <w:rPr>
          <w:rFonts w:hint="eastAsia" w:ascii="仿宋" w:hAnsi="仿宋" w:eastAsia="仿宋" w:cs="仿宋"/>
          <w:color w:val="auto"/>
          <w:sz w:val="32"/>
          <w:szCs w:val="32"/>
          <w:lang w:eastAsia="zh-CN"/>
        </w:rPr>
        <w:t>民丰县财政局</w:t>
      </w:r>
      <w:r>
        <w:rPr>
          <w:rFonts w:hint="eastAsia" w:ascii="仿宋" w:hAnsi="仿宋" w:eastAsia="仿宋" w:cs="仿宋"/>
          <w:color w:val="auto"/>
          <w:sz w:val="32"/>
          <w:szCs w:val="32"/>
        </w:rPr>
        <w:t>工作计划，拟定</w:t>
      </w:r>
      <w:r>
        <w:rPr>
          <w:rFonts w:hint="eastAsia" w:ascii="仿宋" w:hAnsi="仿宋" w:eastAsia="仿宋" w:cs="仿宋"/>
          <w:color w:val="auto"/>
          <w:sz w:val="32"/>
          <w:szCs w:val="32"/>
          <w:lang w:eastAsia="zh-CN"/>
        </w:rPr>
        <w:t>《事前绩效评估工作方案》</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包括评估对象、内容、方法、专家、时间安排等。</w:t>
      </w:r>
      <w:r>
        <w:rPr>
          <w:rFonts w:hint="eastAsia" w:ascii="仿宋" w:hAnsi="仿宋" w:eastAsia="仿宋" w:cs="仿宋"/>
          <w:color w:val="auto"/>
          <w:sz w:val="32"/>
          <w:szCs w:val="32"/>
        </w:rPr>
        <w:t>依据</w:t>
      </w:r>
      <w:r>
        <w:rPr>
          <w:rFonts w:hint="eastAsia" w:ascii="仿宋" w:hAnsi="仿宋" w:eastAsia="仿宋" w:cs="仿宋"/>
          <w:color w:val="auto"/>
          <w:sz w:val="32"/>
          <w:szCs w:val="32"/>
          <w:lang w:eastAsia="zh-CN"/>
        </w:rPr>
        <w:t>项目</w:t>
      </w:r>
      <w:r>
        <w:rPr>
          <w:rFonts w:hint="eastAsia" w:ascii="仿宋" w:hAnsi="仿宋" w:eastAsia="仿宋" w:cs="仿宋"/>
          <w:color w:val="auto"/>
          <w:sz w:val="32"/>
          <w:szCs w:val="32"/>
        </w:rPr>
        <w:t>内容明确工作时间节点，确保能够按照时间要求</w:t>
      </w:r>
      <w:r>
        <w:rPr>
          <w:rFonts w:hint="eastAsia" w:ascii="仿宋" w:hAnsi="仿宋" w:eastAsia="仿宋" w:cs="仿宋"/>
          <w:color w:val="auto"/>
          <w:sz w:val="32"/>
          <w:szCs w:val="32"/>
          <w:lang w:val="en-US" w:eastAsia="zh-CN"/>
        </w:rPr>
        <w:t>完成</w:t>
      </w:r>
      <w:r>
        <w:rPr>
          <w:rFonts w:hint="eastAsia" w:ascii="仿宋" w:hAnsi="仿宋" w:eastAsia="仿宋" w:cs="仿宋"/>
          <w:color w:val="auto"/>
          <w:sz w:val="32"/>
          <w:szCs w:val="32"/>
          <w:lang w:eastAsia="zh-CN"/>
        </w:rPr>
        <w:t>项目计划</w:t>
      </w:r>
      <w:r>
        <w:rPr>
          <w:rFonts w:hint="eastAsia" w:ascii="仿宋" w:hAnsi="仿宋" w:eastAsia="仿宋" w:cs="仿宋"/>
          <w:color w:val="auto"/>
          <w:sz w:val="32"/>
          <w:szCs w:val="32"/>
        </w:rPr>
        <w:t>内容。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3.组建专家组</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按照项目特点，联系相关专家，拟定专家评估会时间。</w:t>
      </w:r>
      <w:r>
        <w:rPr>
          <w:rFonts w:hint="eastAsia" w:ascii="仿宋" w:hAnsi="仿宋" w:eastAsia="仿宋" w:cs="仿宋"/>
          <w:color w:val="auto"/>
          <w:sz w:val="32"/>
          <w:szCs w:val="32"/>
          <w:lang w:eastAsia="zh-CN"/>
        </w:rPr>
        <w:t>评估工作组遴选相关管理专家、财政财务专家和业务专家，组成评估专家组，并适时开展业务培训。</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4.拟定现场调研工作提纲</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与我</w:t>
      </w:r>
      <w:r>
        <w:rPr>
          <w:rFonts w:hint="eastAsia" w:ascii="仿宋" w:hAnsi="仿宋" w:eastAsia="仿宋" w:cs="仿宋"/>
          <w:color w:val="auto"/>
          <w:sz w:val="32"/>
          <w:szCs w:val="32"/>
          <w:lang w:val="en-US" w:eastAsia="zh-CN"/>
        </w:rPr>
        <w:t>县本</w:t>
      </w:r>
      <w:r>
        <w:rPr>
          <w:rFonts w:hint="eastAsia" w:ascii="仿宋" w:hAnsi="仿宋" w:eastAsia="仿宋" w:cs="仿宋"/>
          <w:color w:val="auto"/>
          <w:sz w:val="32"/>
          <w:szCs w:val="32"/>
        </w:rPr>
        <w:t>项目负责人确定现场调研时间，明确工作内容，包括：需要准备的资料清单、项目方案、时间计划安排等。</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5.完成现场调研</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经过沟通，确定进行现场调研。现场调研完成的工作事项包括：</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（1）向项目单位下达《事前绩效现场评估通知单》；</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（2）评估工作组成员与项目单位对接，确定事前绩效评估工作具体配合人员，建立联系沟通渠道；</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）由工作组组长向项目单位介绍事前绩效评估工作、明确评估依据、评估任务、评估工作时间计划；</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）取得项目部分资料。</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6.组织实施评估。绩效考评组会同评估专家共同召开评估会议，了解项目基本情况，听取项目单位的情况介绍，进行现场评议。</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(1)采取多种方式，多方获取信息。通过咨询专家、查阅资料、问卷调查、电话采访、集中座谈等方式，全面了解并收集项目信息。</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(2)专家出具个人意见，评估工作组形成专家组初步意见。召开专家评估会，项目单位汇报项目计划内容和实施方案情况，由评估工作组组织专家进行充分论证，出具专家个人意见，填写《项目支出事前绩效评估专家评估意见》。评估工作组结合专家意见，综合调查分析结果，形成专家组初步意见。</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(3)确认专家组意见，得出评估结论。评估工作组将专家组初步意见分别报送每一位专家征求意见，评估工作组综合专家意见，修改完善专家组意见，得出最终评估结论，填写《项目支出事前绩效评估专家组汇总意见》。</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7.汇报绩效评估结论。完成最终评价报告，提出评估结论意见。</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）评估方式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本次事前绩效评估主要针对项目的相关性、项目绩效的可实现性、项目实施方案的有效性、项目预期绩效的可持续性、财政资金投入的可行性及风险等五方面进行综合评估、分析与论证，并提出相关建议。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本次</w:t>
      </w:r>
      <w:r>
        <w:rPr>
          <w:rFonts w:hint="eastAsia" w:ascii="仿宋" w:hAnsi="仿宋" w:eastAsia="仿宋" w:cs="仿宋"/>
          <w:color w:val="auto"/>
          <w:sz w:val="32"/>
          <w:szCs w:val="32"/>
          <w:lang w:eastAsia="zh-CN"/>
        </w:rPr>
        <w:t>事前</w:t>
      </w:r>
      <w:r>
        <w:rPr>
          <w:rFonts w:hint="eastAsia" w:ascii="仿宋" w:hAnsi="仿宋" w:eastAsia="仿宋" w:cs="仿宋"/>
          <w:color w:val="auto"/>
          <w:sz w:val="32"/>
          <w:szCs w:val="32"/>
        </w:rPr>
        <w:t>绩效评估</w:t>
      </w:r>
      <w:r>
        <w:rPr>
          <w:rFonts w:hint="eastAsia" w:ascii="仿宋" w:hAnsi="仿宋" w:eastAsia="仿宋" w:cs="仿宋"/>
          <w:color w:val="auto"/>
          <w:sz w:val="32"/>
          <w:szCs w:val="32"/>
          <w:lang w:eastAsia="zh-CN"/>
        </w:rPr>
        <w:t>遵循全面考虑、重点突出的原则，主要采用专家咨询的方式，同时辅之以资料分析、集中座谈、网络查询、电话采访、抽样调查等评估方式或手段，对项目的相关性、可行性、持续性等方面进行全面评估。</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本次绩效评估秉承科学规范、公平公正、绩效相关的原则，按照项目立项、预算管理、项目实施的分析路径，结合往年的工作经验，探讨项目实施过程中可能遇到的问题，切实提升财政资金实施的规范化、科学化，确保项目实施管理的有效性</w:t>
      </w:r>
      <w:r>
        <w:rPr>
          <w:rFonts w:hint="eastAsia" w:ascii="仿宋" w:hAnsi="仿宋" w:eastAsia="仿宋" w:cs="仿宋"/>
          <w:color w:val="auto"/>
          <w:sz w:val="32"/>
          <w:szCs w:val="32"/>
          <w:lang w:eastAsia="zh-CN"/>
        </w:rPr>
        <w:t>。</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（三）评估方法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rPr>
        <w:t>事前绩效评估主要采用成本效益分析、比较分析、因素分析、最低成本分析、历史分析等方法进行论证。本次绩效采用“最低成本分析</w:t>
      </w:r>
      <w:r>
        <w:rPr>
          <w:rFonts w:hint="eastAsia" w:ascii="仿宋" w:hAnsi="仿宋" w:eastAsia="仿宋" w:cs="仿宋"/>
          <w:color w:val="auto"/>
          <w:sz w:val="32"/>
          <w:szCs w:val="32"/>
          <w:shd w:val="clear" w:color="auto" w:fill="FFFFFF"/>
        </w:rPr>
        <w:t>”进行评估。</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shd w:val="clear" w:color="auto" w:fill="FFFFFF"/>
        </w:rPr>
        <w:t>首先，</w:t>
      </w:r>
      <w:r>
        <w:rPr>
          <w:rFonts w:hint="eastAsia" w:ascii="仿宋" w:hAnsi="仿宋" w:eastAsia="仿宋" w:cs="仿宋"/>
          <w:color w:val="auto"/>
          <w:sz w:val="32"/>
          <w:szCs w:val="32"/>
          <w:shd w:val="clear" w:color="auto" w:fill="FFFFFF"/>
          <w:lang w:val="en-US" w:eastAsia="zh-CN"/>
        </w:rPr>
        <w:t>民丰县财政局项目评估小组</w:t>
      </w:r>
      <w:r>
        <w:rPr>
          <w:rFonts w:hint="eastAsia" w:ascii="仿宋" w:hAnsi="仿宋" w:eastAsia="仿宋" w:cs="仿宋"/>
          <w:color w:val="auto"/>
          <w:sz w:val="32"/>
          <w:szCs w:val="32"/>
        </w:rPr>
        <w:t>召开部门会议，对项目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。绩效管理服务费采取成本计费的方法核定，即综合考虑评价工作的地域分布、行业特点、难易程度等因素，根据受托机构实施评价预计发生费用（人员工资、差旅费、税费等支出）计算核定。</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shd w:val="clear" w:color="auto" w:fill="FFFFFF"/>
        </w:rPr>
        <w:t>其次，根据</w:t>
      </w:r>
      <w:r>
        <w:rPr>
          <w:rFonts w:hint="eastAsia" w:ascii="仿宋" w:hAnsi="仿宋" w:eastAsia="仿宋" w:cs="仿宋"/>
          <w:color w:val="auto"/>
          <w:sz w:val="32"/>
          <w:szCs w:val="32"/>
          <w:shd w:val="clear" w:color="auto" w:fill="FFFFFF"/>
          <w:lang w:val="en-US" w:eastAsia="zh-CN"/>
        </w:rPr>
        <w:t>部门会议决定，进行现场踏勘及问卷调查，实地了解情况，对项目可行性提供事实依据。</w:t>
      </w:r>
      <w:r>
        <w:rPr>
          <w:rFonts w:hint="eastAsia" w:ascii="仿宋" w:hAnsi="仿宋" w:eastAsia="仿宋" w:cs="仿宋"/>
          <w:color w:val="auto"/>
          <w:sz w:val="32"/>
          <w:szCs w:val="32"/>
        </w:rPr>
        <w:t>由工作组</w:t>
      </w:r>
      <w:r>
        <w:rPr>
          <w:rFonts w:hint="eastAsia" w:ascii="仿宋" w:hAnsi="仿宋" w:eastAsia="仿宋" w:cs="仿宋"/>
          <w:color w:val="auto"/>
          <w:sz w:val="32"/>
          <w:szCs w:val="32"/>
          <w:lang w:val="en-US" w:eastAsia="zh-CN"/>
        </w:rPr>
        <w:t>成员</w:t>
      </w:r>
      <w:r>
        <w:rPr>
          <w:rFonts w:hint="eastAsia" w:ascii="仿宋" w:hAnsi="仿宋" w:eastAsia="仿宋" w:cs="仿宋"/>
          <w:color w:val="auto"/>
          <w:sz w:val="32"/>
          <w:szCs w:val="32"/>
          <w:highlight w:val="none"/>
          <w:lang w:val="en-US" w:eastAsia="zh-CN"/>
        </w:rPr>
        <w:t>记录选取</w:t>
      </w:r>
      <w:r>
        <w:rPr>
          <w:rFonts w:hint="eastAsia" w:ascii="仿宋" w:hAnsi="仿宋" w:eastAsia="仿宋" w:cs="仿宋"/>
          <w:color w:val="auto"/>
          <w:sz w:val="32"/>
          <w:szCs w:val="32"/>
          <w:highlight w:val="none"/>
          <w:shd w:val="clear" w:color="auto" w:fill="FFFFFF"/>
          <w:lang w:val="en-US" w:eastAsia="zh-CN"/>
        </w:rPr>
        <w:t>问卷调查</w:t>
      </w:r>
      <w:r>
        <w:rPr>
          <w:rFonts w:hint="eastAsia" w:ascii="仿宋" w:hAnsi="仿宋" w:eastAsia="仿宋" w:cs="仿宋"/>
          <w:color w:val="auto"/>
          <w:sz w:val="32"/>
          <w:szCs w:val="32"/>
          <w:highlight w:val="none"/>
          <w:lang w:val="en-US" w:eastAsia="zh-CN"/>
        </w:rPr>
        <w:t>群众的情况介绍和意见</w:t>
      </w:r>
      <w:r>
        <w:rPr>
          <w:rFonts w:hint="eastAsia" w:ascii="仿宋" w:hAnsi="仿宋" w:eastAsia="仿宋" w:cs="仿宋"/>
          <w:color w:val="auto"/>
          <w:sz w:val="32"/>
          <w:szCs w:val="32"/>
          <w:highlight w:val="none"/>
        </w:rPr>
        <w:t>。</w:t>
      </w:r>
    </w:p>
    <w:p>
      <w:pPr>
        <w:numPr>
          <w:ilvl w:val="0"/>
          <w:numId w:val="1"/>
        </w:num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评估人员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1、组长：孙绍杰（财政局局长），负责项目的管理工作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2、组员：官政（副主任），负责项目的监督与考核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3、组员：李江会（预算科科长），负责项目的监督。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shd w:val="clear" w:color="auto" w:fill="FFFFFF"/>
          <w:lang w:val="en-US" w:eastAsia="zh-CN"/>
        </w:rPr>
        <w:t>民丰县财政局</w:t>
      </w:r>
      <w:r>
        <w:rPr>
          <w:rFonts w:hint="eastAsia" w:ascii="仿宋" w:hAnsi="仿宋" w:eastAsia="仿宋" w:cs="仿宋"/>
          <w:color w:val="auto"/>
          <w:sz w:val="32"/>
          <w:szCs w:val="32"/>
          <w:highlight w:val="none"/>
          <w:lang w:val="en-US" w:eastAsia="zh-CN"/>
        </w:rPr>
        <w:t>组成3人评估小组，对该项目情况进行全方位调查和评估，确保评估工作公开、透明，为该项目工作的开展提供经验和依据。</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三、评估内容</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（一）相关性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1、项目符合相关政策，与部门职能和规划相关。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《中共中央、国务院关于全面实施预算绩效管理的意见》（中发〔2018〕34号）和《自治区党委 自治区人民政府关于全面实施预算绩效管理的实施意见》（新党发〔2018〕30号）,明确要求各地要健全预算绩效管理制度，建立专家咨询机制，引导和规范第三方参与预算绩效管理，严格执业质量监督管理。</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民丰县财政局相关职能：贯彻执行国家财政、税收、行政事业单位国有资产管理法规、制度和方针政策；组织起草财政、财务、会计管理、行政事业单位国有资产管理等方面的地方性法规，制定部门规章制度，并监督实施。</w:t>
      </w:r>
    </w:p>
    <w:p>
      <w:pPr>
        <w:keepNext w:val="0"/>
        <w:keepLines w:val="0"/>
        <w:pageBreakBefore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项目具有现实需求，且需求迫切。</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行政事业单位的预算管理与绩效管理往往相互独立，近几年，预算绩效管理这一理念越发成熟，预算绩效管理，就是以“预算”为对象开展的绩效管理，它将绩效理念和管理方法融入预算过程中，使之与预算编制、预算执行、预算监督一起成为预算管理的有机组成部分，是一种以绩效目标为导向、以绩效监控为保障、以绩效评价为手段、以评价结果应用为关键的全过程预算管理模式。当前很多行政事业单位也在进行预算绩效管理尝试，并取得了一些成效，这表明预算绩效管理能够成为一种管理上的创新选择。</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预算绩效管理是一种十分新颖的管理形式，但其绝非简单的预算管理与绩效管理融合，预算绩效管理本身较为复杂和特殊，其更加需要一个较好的预算绩效管理体系予以支撑。大多数行政事业单位在进行着预算绩效管理的尝试，但实际管理成效并不明显。很多行政事业单位在实施全年预算绩效管理上的被动性十分明显，核心管理层以及财务管理主体也不知道怎样进行高效的预算绩效管理，全面实施预算绩效管理的难点性因素也显得尤为显著和突出，因此提升预算绩效管理的全面性以及预算绩效管理的有效性显得十分迫切。</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（二）预期绩效的可实现性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1、项目绩效目标明确。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项目绩效目标明确，用于</w:t>
      </w:r>
      <w:r>
        <w:rPr>
          <w:rFonts w:hint="eastAsia" w:ascii="仿宋" w:hAnsi="仿宋" w:eastAsia="仿宋" w:cs="仿宋"/>
          <w:b w:val="0"/>
          <w:bCs w:val="0"/>
          <w:color w:val="auto"/>
          <w:kern w:val="2"/>
          <w:sz w:val="32"/>
          <w:szCs w:val="32"/>
          <w:highlight w:val="none"/>
          <w:lang w:val="en-US" w:eastAsia="zh-CN" w:bidi="ar-SA"/>
        </w:rPr>
        <w:t xml:space="preserve">对对民丰县全预算财政资金进行绩效管理，包括预算绩效事前评估、绩效目标管理、绩效目标动态监控、绩效评价及预算绩效相关培训辅导等工作。                                          </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该项工作有利于提高民丰县预算管理水平和政策实施效果，推动财政资金聚力增效，提高公共服务供给质量，增强政府公信力和执行力。</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2、项目绩效指标明确，且将项目绩效目标细化分解。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项目绩效指标明确且将项目绩效目标细化分解为具体的绩效指标：数量指标、质量指标、时效指标、成本指标、社会效益指标、可持续影响指标、服务对象满意度指标。</w:t>
      </w:r>
    </w:p>
    <w:p>
      <w:pPr>
        <w:pStyle w:val="3"/>
        <w:numPr>
          <w:ilvl w:val="0"/>
          <w:numId w:val="0"/>
        </w:numPr>
        <w:ind w:leftChars="200" w:firstLine="320" w:firstLineChars="1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3、项目综合效益显著，预期效益可实现性较强。</w:t>
      </w:r>
    </w:p>
    <w:p>
      <w:pPr>
        <w:pStyle w:val="3"/>
        <w:numPr>
          <w:ilvl w:val="0"/>
          <w:numId w:val="0"/>
        </w:numPr>
        <w:ind w:firstLine="640" w:firstLineChars="2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xml:space="preserve"> 部门单位自评、财政部门审核，第三方机构重点评价对于绩效评价工作来说，是并驾齐驱、相互制衡的三架马车。引入第三方评价，既可以弥补内部评价的局限与不足，避免各级财政部门和部门单位既是“运动员”又是“裁判员”的尴尬，又可以提高绩效评价的公信力和科学性，促进财政工作和预算信息公开透明。</w:t>
      </w:r>
    </w:p>
    <w:p>
      <w:pPr>
        <w:numPr>
          <w:ilvl w:val="0"/>
          <w:numId w:val="0"/>
        </w:numPr>
        <w:ind w:leftChars="200" w:firstLine="320" w:firstLineChars="1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4、以往年度项目的管理基本到位，且实现了预期目标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val="0"/>
          <w:bCs w:val="0"/>
          <w:color w:val="auto"/>
          <w:kern w:val="2"/>
          <w:sz w:val="32"/>
          <w:szCs w:val="32"/>
          <w:highlight w:val="none"/>
          <w:lang w:val="en-US" w:eastAsia="zh-CN" w:bidi="ar-SA"/>
        </w:rPr>
        <w:t>以往年度项目完全达到了预期目标。将项目预期目标和成本预算与主管部门</w:t>
      </w:r>
      <w:r>
        <w:rPr>
          <w:rFonts w:hint="eastAsia" w:ascii="仿宋" w:hAnsi="仿宋" w:eastAsia="仿宋" w:cs="仿宋"/>
          <w:color w:val="auto"/>
          <w:sz w:val="32"/>
          <w:szCs w:val="32"/>
          <w:highlight w:val="none"/>
          <w:lang w:val="en-US" w:eastAsia="zh-CN"/>
        </w:rPr>
        <w:t>历史数据对比、与计划对比、与行业平均水平对比，未存在异常。</w:t>
      </w:r>
    </w:p>
    <w:p>
      <w:pPr>
        <w:pStyle w:val="5"/>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该项目制定的资金保障</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和成本预算</w:t>
      </w:r>
      <w:r>
        <w:rPr>
          <w:rFonts w:hint="eastAsia" w:ascii="仿宋" w:hAnsi="仿宋" w:eastAsia="仿宋" w:cs="仿宋"/>
          <w:color w:val="auto"/>
          <w:sz w:val="32"/>
          <w:szCs w:val="32"/>
          <w:lang w:val="en-US" w:eastAsia="zh-CN"/>
        </w:rPr>
        <w:t>管理</w:t>
      </w:r>
      <w:r>
        <w:rPr>
          <w:rFonts w:hint="eastAsia" w:ascii="仿宋" w:hAnsi="仿宋" w:eastAsia="仿宋" w:cs="仿宋"/>
          <w:color w:val="auto"/>
          <w:sz w:val="32"/>
          <w:szCs w:val="32"/>
        </w:rPr>
        <w:t>目标明确，</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科学合理，项目</w:t>
      </w:r>
      <w:r>
        <w:rPr>
          <w:rFonts w:hint="eastAsia" w:ascii="仿宋" w:hAnsi="仿宋" w:eastAsia="仿宋" w:cs="仿宋"/>
          <w:color w:val="auto"/>
          <w:sz w:val="32"/>
          <w:szCs w:val="32"/>
          <w:lang w:val="en-US" w:eastAsia="zh-CN"/>
        </w:rPr>
        <w:t>实施</w:t>
      </w:r>
      <w:r>
        <w:rPr>
          <w:rFonts w:hint="eastAsia" w:ascii="仿宋" w:hAnsi="仿宋" w:eastAsia="仿宋" w:cs="仿宋"/>
          <w:color w:val="auto"/>
          <w:sz w:val="32"/>
          <w:szCs w:val="32"/>
        </w:rPr>
        <w:t>具有可操作性，</w:t>
      </w:r>
      <w:r>
        <w:rPr>
          <w:rFonts w:hint="eastAsia" w:ascii="仿宋" w:hAnsi="仿宋" w:eastAsia="仿宋" w:cs="仿宋"/>
          <w:color w:val="auto"/>
          <w:sz w:val="32"/>
          <w:szCs w:val="32"/>
          <w:lang w:val="en-US" w:eastAsia="zh-CN"/>
        </w:rPr>
        <w:t>预期绩效目标可以实现</w:t>
      </w:r>
      <w:r>
        <w:rPr>
          <w:rFonts w:hint="eastAsia" w:ascii="仿宋" w:hAnsi="仿宋" w:eastAsia="仿宋" w:cs="仿宋"/>
          <w:color w:val="auto"/>
          <w:sz w:val="32"/>
          <w:szCs w:val="32"/>
        </w:rPr>
        <w:t>。</w:t>
      </w:r>
    </w:p>
    <w:p>
      <w:pPr>
        <w:widowControl w:val="0"/>
        <w:numPr>
          <w:ilvl w:val="0"/>
          <w:numId w:val="3"/>
        </w:numPr>
        <w:spacing w:beforeLines="0" w:afterLines="0"/>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实施方案的有效性</w:t>
      </w:r>
    </w:p>
    <w:p>
      <w:pPr>
        <w:keepNext w:val="0"/>
        <w:keepLines w:val="0"/>
        <w:pageBreakBefore w:val="0"/>
        <w:numPr>
          <w:ilvl w:val="0"/>
          <w:numId w:val="4"/>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val="en-US" w:eastAsia="zh-CN"/>
        </w:rPr>
        <w:t>项目内容明确，决策申报程序基本规范。</w:t>
      </w:r>
    </w:p>
    <w:p>
      <w:pPr>
        <w:numPr>
          <w:ilvl w:val="0"/>
          <w:numId w:val="0"/>
        </w:numPr>
        <w:ind w:firstLine="624" w:firstLineChars="200"/>
        <w:rPr>
          <w:rStyle w:val="12"/>
          <w:rFonts w:hint="eastAsia" w:ascii="仿宋" w:hAnsi="仿宋" w:eastAsia="仿宋" w:cs="仿宋"/>
          <w:b w:val="0"/>
          <w:color w:val="auto"/>
          <w:spacing w:val="-4"/>
          <w:sz w:val="32"/>
          <w:szCs w:val="32"/>
          <w:lang w:val="en-US" w:eastAsia="zh-CN"/>
        </w:rPr>
      </w:pPr>
      <w:r>
        <w:rPr>
          <w:rStyle w:val="12"/>
          <w:rFonts w:hint="eastAsia" w:ascii="仿宋" w:hAnsi="仿宋" w:eastAsia="仿宋" w:cs="仿宋"/>
          <w:b w:val="0"/>
          <w:color w:val="auto"/>
          <w:spacing w:val="-4"/>
          <w:sz w:val="32"/>
          <w:szCs w:val="32"/>
          <w:lang w:val="en-US" w:eastAsia="zh-CN"/>
        </w:rPr>
        <w:t>项目内容明确，主要内容：管理绩效管理单位个数</w:t>
      </w:r>
      <w:r>
        <w:rPr>
          <w:rStyle w:val="12"/>
          <w:rFonts w:hint="eastAsia" w:ascii="仿宋" w:hAnsi="仿宋" w:eastAsia="仿宋" w:cs="仿宋"/>
          <w:b w:val="0"/>
          <w:color w:val="auto"/>
          <w:spacing w:val="-4"/>
          <w:sz w:val="32"/>
          <w:szCs w:val="32"/>
          <w:lang w:val="en-US" w:eastAsia="zh-CN"/>
        </w:rPr>
        <w:tab/>
      </w:r>
      <w:r>
        <w:rPr>
          <w:rStyle w:val="12"/>
          <w:rFonts w:hint="eastAsia" w:ascii="仿宋" w:hAnsi="仿宋" w:eastAsia="仿宋" w:cs="仿宋"/>
          <w:b w:val="0"/>
          <w:color w:val="auto"/>
          <w:spacing w:val="-4"/>
          <w:sz w:val="32"/>
          <w:szCs w:val="32"/>
          <w:lang w:val="en-US" w:eastAsia="zh-CN"/>
        </w:rPr>
        <w:t>65个，管理预算资金金额≥20亿元，举办绩效工作培训次数</w:t>
      </w:r>
      <w:r>
        <w:rPr>
          <w:rStyle w:val="12"/>
          <w:rFonts w:hint="eastAsia" w:ascii="仿宋" w:hAnsi="仿宋" w:eastAsia="仿宋" w:cs="仿宋"/>
          <w:b w:val="0"/>
          <w:color w:val="auto"/>
          <w:spacing w:val="-4"/>
          <w:sz w:val="32"/>
          <w:szCs w:val="32"/>
          <w:lang w:val="en-US" w:eastAsia="zh-CN"/>
        </w:rPr>
        <w:tab/>
      </w:r>
      <w:r>
        <w:rPr>
          <w:rStyle w:val="12"/>
          <w:rFonts w:hint="eastAsia" w:ascii="仿宋" w:hAnsi="仿宋" w:eastAsia="仿宋" w:cs="仿宋"/>
          <w:b w:val="0"/>
          <w:color w:val="auto"/>
          <w:spacing w:val="-4"/>
          <w:sz w:val="32"/>
          <w:szCs w:val="32"/>
          <w:lang w:val="en-US" w:eastAsia="zh-CN"/>
        </w:rPr>
        <w:t>≥3次，预算绩效部门和单位个数≥55个</w:t>
      </w:r>
      <w:r>
        <w:rPr>
          <w:rStyle w:val="12"/>
          <w:rFonts w:hint="eastAsia" w:ascii="仿宋" w:hAnsi="仿宋" w:eastAsia="仿宋" w:cs="仿宋"/>
          <w:b w:val="0"/>
          <w:color w:val="auto"/>
          <w:spacing w:val="-4"/>
          <w:sz w:val="32"/>
          <w:szCs w:val="32"/>
          <w:lang w:val="en-US" w:eastAsia="zh-CN"/>
        </w:rPr>
        <w:tab/>
      </w:r>
      <w:r>
        <w:rPr>
          <w:rStyle w:val="12"/>
          <w:rFonts w:hint="eastAsia" w:ascii="仿宋" w:hAnsi="仿宋" w:eastAsia="仿宋" w:cs="仿宋"/>
          <w:b w:val="0"/>
          <w:color w:val="auto"/>
          <w:spacing w:val="-4"/>
          <w:sz w:val="32"/>
          <w:szCs w:val="32"/>
          <w:lang w:val="en-US" w:eastAsia="zh-CN"/>
        </w:rPr>
        <w:t xml:space="preserve">。                                           </w:t>
      </w:r>
    </w:p>
    <w:p>
      <w:pPr>
        <w:keepNext w:val="0"/>
        <w:keepLines w:val="0"/>
        <w:pageBreakBefore w:val="0"/>
        <w:numPr>
          <w:ilvl w:val="0"/>
          <w:numId w:val="4"/>
        </w:numPr>
        <w:kinsoku/>
        <w:wordWrap/>
        <w:overflowPunct/>
        <w:topLinePunct w:val="0"/>
        <w:autoSpaceDE/>
        <w:autoSpaceDN/>
        <w:bidi w:val="0"/>
        <w:adjustRightInd/>
        <w:snapToGrid/>
        <w:spacing w:line="600" w:lineRule="exact"/>
        <w:ind w:left="0" w:leftChars="0" w:firstLine="624" w:firstLineChars="200"/>
        <w:textAlignment w:val="auto"/>
        <w:rPr>
          <w:rStyle w:val="12"/>
          <w:rFonts w:hint="eastAsia" w:ascii="仿宋" w:hAnsi="仿宋" w:eastAsia="仿宋" w:cs="仿宋"/>
          <w:b w:val="0"/>
          <w:color w:val="auto"/>
          <w:spacing w:val="-4"/>
          <w:sz w:val="32"/>
          <w:szCs w:val="32"/>
          <w:lang w:val="en-US" w:eastAsia="zh-CN"/>
        </w:rPr>
      </w:pPr>
      <w:r>
        <w:rPr>
          <w:rStyle w:val="12"/>
          <w:rFonts w:hint="eastAsia" w:ascii="仿宋" w:hAnsi="仿宋" w:eastAsia="仿宋" w:cs="仿宋"/>
          <w:b w:val="0"/>
          <w:color w:val="auto"/>
          <w:spacing w:val="-4"/>
          <w:sz w:val="32"/>
          <w:szCs w:val="32"/>
          <w:lang w:val="en-US" w:eastAsia="zh-CN"/>
        </w:rPr>
        <w:t>项目预算编制有文件依据，且与绩效目标与项目内容相匹配。</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bCs/>
          <w:color w:val="auto"/>
          <w:spacing w:val="-4"/>
          <w:kern w:val="2"/>
          <w:sz w:val="32"/>
          <w:szCs w:val="32"/>
          <w:lang w:val="en-US" w:eastAsia="zh-CN" w:bidi="ar-SA"/>
        </w:rPr>
      </w:pPr>
      <w:r>
        <w:rPr>
          <w:rStyle w:val="12"/>
          <w:rFonts w:hint="eastAsia" w:ascii="仿宋" w:hAnsi="仿宋" w:eastAsia="仿宋" w:cs="仿宋"/>
          <w:b w:val="0"/>
          <w:bCs/>
          <w:color w:val="auto"/>
          <w:spacing w:val="-4"/>
          <w:kern w:val="2"/>
          <w:sz w:val="32"/>
          <w:szCs w:val="32"/>
          <w:lang w:val="en-US" w:eastAsia="zh-CN" w:bidi="ar-SA"/>
        </w:rPr>
        <w:t>项目预算编制主要依据《中华人民共和国预算法》、《关于印发[和田地区财政资金使用跟踪反馈管理暂行办法]的通知》（和地财预[2018]67号）文件，与绩效目标与项目内容相匹配。</w:t>
      </w:r>
    </w:p>
    <w:p>
      <w:pPr>
        <w:numPr>
          <w:ilvl w:val="0"/>
          <w:numId w:val="0"/>
        </w:numPr>
        <w:ind w:firstLine="624" w:firstLineChars="200"/>
        <w:rPr>
          <w:rStyle w:val="12"/>
          <w:rFonts w:hint="eastAsia" w:ascii="仿宋" w:hAnsi="仿宋" w:eastAsia="仿宋" w:cs="仿宋"/>
          <w:b w:val="0"/>
          <w:color w:val="auto"/>
          <w:spacing w:val="-4"/>
          <w:kern w:val="2"/>
          <w:sz w:val="32"/>
          <w:szCs w:val="32"/>
          <w:lang w:val="en-US" w:eastAsia="zh-CN" w:bidi="ar-SA"/>
        </w:rPr>
      </w:pPr>
      <w:r>
        <w:rPr>
          <w:rStyle w:val="12"/>
          <w:rFonts w:hint="eastAsia" w:ascii="仿宋" w:hAnsi="仿宋" w:eastAsia="仿宋" w:cs="仿宋"/>
          <w:b w:val="0"/>
          <w:color w:val="auto"/>
          <w:spacing w:val="-4"/>
          <w:kern w:val="2"/>
          <w:sz w:val="32"/>
          <w:szCs w:val="32"/>
          <w:lang w:val="en-US" w:eastAsia="zh-CN" w:bidi="ar-SA"/>
        </w:rPr>
        <w:t>预算资金设立专项账户，并制定专人管理。同时要建立健全内部财务管理制度，加强会计日常核算和监督，加强资金的预算、控制、分析和检查工作，做好项目财务管理基础工作；项目实行审计制度，由相关部门对项目采取跟踪审计。</w:t>
      </w:r>
    </w:p>
    <w:p>
      <w:pPr>
        <w:pStyle w:val="3"/>
        <w:numPr>
          <w:ilvl w:val="0"/>
          <w:numId w:val="0"/>
        </w:numPr>
        <w:ind w:firstLine="624" w:firstLineChars="200"/>
        <w:rPr>
          <w:rStyle w:val="12"/>
          <w:rFonts w:hint="eastAsia" w:ascii="仿宋" w:hAnsi="仿宋" w:eastAsia="仿宋" w:cs="仿宋"/>
          <w:b w:val="0"/>
          <w:bCs/>
          <w:color w:val="auto"/>
          <w:spacing w:val="-4"/>
          <w:kern w:val="2"/>
          <w:sz w:val="32"/>
          <w:szCs w:val="32"/>
          <w:lang w:val="en-US" w:eastAsia="zh-CN" w:bidi="ar-SA"/>
        </w:rPr>
      </w:pPr>
      <w:r>
        <w:rPr>
          <w:rStyle w:val="12"/>
          <w:rFonts w:hint="eastAsia" w:ascii="仿宋" w:hAnsi="仿宋" w:eastAsia="仿宋" w:cs="仿宋"/>
          <w:b w:val="0"/>
          <w:bCs/>
          <w:color w:val="auto"/>
          <w:spacing w:val="-4"/>
          <w:kern w:val="2"/>
          <w:sz w:val="32"/>
          <w:szCs w:val="32"/>
          <w:lang w:val="en-US" w:eastAsia="zh-CN" w:bidi="ar-SA"/>
        </w:rPr>
        <w:t>3、项目单位各项管理制度与措施健全，且基本得到有效执行。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eastAsia="zh-CN"/>
        </w:rPr>
        <w:t>（</w:t>
      </w:r>
      <w:r>
        <w:rPr>
          <w:rStyle w:val="12"/>
          <w:rFonts w:hint="eastAsia" w:ascii="仿宋" w:hAnsi="仿宋" w:eastAsia="仿宋" w:cs="仿宋"/>
          <w:b w:val="0"/>
          <w:color w:val="auto"/>
          <w:sz w:val="32"/>
          <w:szCs w:val="32"/>
          <w:lang w:val="en-US" w:eastAsia="zh-CN"/>
        </w:rPr>
        <w:t>1</w:t>
      </w:r>
      <w:r>
        <w:rPr>
          <w:rStyle w:val="12"/>
          <w:rFonts w:hint="eastAsia" w:ascii="仿宋" w:hAnsi="仿宋" w:eastAsia="仿宋" w:cs="仿宋"/>
          <w:b w:val="0"/>
          <w:color w:val="auto"/>
          <w:sz w:val="32"/>
          <w:szCs w:val="32"/>
          <w:lang w:eastAsia="zh-CN"/>
        </w:rPr>
        <w:t>）资金管理制度方面</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eastAsia="zh-CN"/>
        </w:rPr>
        <w:t>依据《关于印发&lt;自治区财政资金使用跟踪反馈管理暂行办法&gt;的通知》（新财预字[2016]113号）、</w:t>
      </w:r>
      <w:r>
        <w:rPr>
          <w:rStyle w:val="12"/>
          <w:rFonts w:hint="eastAsia" w:ascii="仿宋" w:hAnsi="仿宋" w:eastAsia="仿宋" w:cs="仿宋"/>
          <w:b w:val="0"/>
          <w:color w:val="auto"/>
          <w:sz w:val="32"/>
          <w:szCs w:val="32"/>
        </w:rPr>
        <w:t>《财政预算资金拨付管理暂行办法》</w:t>
      </w:r>
      <w:r>
        <w:rPr>
          <w:rStyle w:val="12"/>
          <w:rFonts w:hint="eastAsia" w:ascii="仿宋" w:hAnsi="仿宋" w:eastAsia="仿宋" w:cs="仿宋"/>
          <w:b w:val="0"/>
          <w:color w:val="auto"/>
          <w:sz w:val="32"/>
          <w:szCs w:val="32"/>
          <w:lang w:eastAsia="zh-CN"/>
        </w:rPr>
        <w:t>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eastAsia="zh-CN"/>
        </w:rPr>
        <w:t>根据《中华人民共和国预算法》，加强对项目资金的预算执行及日常监督管理，确保每个项目按照规定的用途实施。资金拨付坚持按项目、预算、进度、指定用途拨款，确保财政专项资金规范使用。</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eastAsia="zh-CN"/>
        </w:rPr>
        <w:t>（</w:t>
      </w:r>
      <w:r>
        <w:rPr>
          <w:rStyle w:val="12"/>
          <w:rFonts w:hint="eastAsia" w:ascii="仿宋" w:hAnsi="仿宋" w:eastAsia="仿宋" w:cs="仿宋"/>
          <w:b w:val="0"/>
          <w:color w:val="auto"/>
          <w:spacing w:val="-4"/>
          <w:sz w:val="32"/>
          <w:szCs w:val="32"/>
          <w:lang w:val="en-US" w:eastAsia="zh-CN"/>
        </w:rPr>
        <w:t>2</w:t>
      </w:r>
      <w:r>
        <w:rPr>
          <w:rStyle w:val="12"/>
          <w:rFonts w:hint="eastAsia" w:ascii="仿宋" w:hAnsi="仿宋" w:eastAsia="仿宋" w:cs="仿宋"/>
          <w:b w:val="0"/>
          <w:color w:val="auto"/>
          <w:spacing w:val="-4"/>
          <w:sz w:val="32"/>
          <w:szCs w:val="32"/>
          <w:lang w:eastAsia="zh-CN"/>
        </w:rPr>
        <w:t>）</w:t>
      </w:r>
      <w:r>
        <w:rPr>
          <w:rStyle w:val="12"/>
          <w:rFonts w:hint="eastAsia" w:ascii="仿宋" w:hAnsi="仿宋" w:eastAsia="仿宋" w:cs="仿宋"/>
          <w:b w:val="0"/>
          <w:color w:val="auto"/>
          <w:spacing w:val="-4"/>
          <w:sz w:val="32"/>
          <w:szCs w:val="32"/>
        </w:rPr>
        <w:t>项目管理制度建设</w:t>
      </w:r>
    </w:p>
    <w:p>
      <w:pPr>
        <w:ind w:firstLine="624" w:firstLineChars="200"/>
        <w:rPr>
          <w:rStyle w:val="12"/>
          <w:rFonts w:hint="eastAsia" w:ascii="仿宋" w:hAnsi="仿宋" w:eastAsia="仿宋" w:cs="仿宋"/>
          <w:b w:val="0"/>
          <w:color w:val="auto"/>
          <w:spacing w:val="-4"/>
          <w:sz w:val="32"/>
          <w:szCs w:val="32"/>
          <w:shd w:val="clear" w:color="FFFFFF" w:fill="FFFFFF"/>
        </w:rPr>
      </w:pPr>
      <w:r>
        <w:rPr>
          <w:rStyle w:val="12"/>
          <w:rFonts w:hint="eastAsia" w:ascii="仿宋" w:hAnsi="仿宋" w:eastAsia="仿宋" w:cs="仿宋"/>
          <w:b w:val="0"/>
          <w:color w:val="auto"/>
          <w:spacing w:val="-4"/>
          <w:sz w:val="32"/>
          <w:szCs w:val="32"/>
          <w:shd w:val="clear" w:color="FFFFFF" w:fill="FFFFFF"/>
        </w:rPr>
        <w:t>依据《财政资金管理办法》，预算资金设立专项账户，并制定专人管理。同时要建立健全内部财务管理制度，加强会计日常核算和监督，加强资金的预算、控制、分析和检查工作，做好项目财务管理基础工作；项目实行审计制度，由相关部门对项目采取跟踪审计。</w:t>
      </w:r>
    </w:p>
    <w:p>
      <w:pPr>
        <w:ind w:firstLine="624" w:firstLineChars="200"/>
        <w:rPr>
          <w:rStyle w:val="12"/>
          <w:rFonts w:hint="eastAsia" w:ascii="仿宋" w:hAnsi="仿宋" w:eastAsia="仿宋" w:cs="仿宋"/>
          <w:b w:val="0"/>
          <w:color w:val="auto"/>
          <w:spacing w:val="-4"/>
          <w:sz w:val="32"/>
          <w:szCs w:val="32"/>
          <w:shd w:val="clear" w:color="FFFFFF" w:fill="FFFFFF"/>
        </w:rPr>
      </w:pPr>
      <w:r>
        <w:rPr>
          <w:rStyle w:val="12"/>
          <w:rFonts w:hint="eastAsia" w:ascii="仿宋" w:hAnsi="仿宋" w:eastAsia="仿宋" w:cs="仿宋"/>
          <w:b w:val="0"/>
          <w:color w:val="auto"/>
          <w:spacing w:val="-4"/>
          <w:sz w:val="32"/>
          <w:szCs w:val="32"/>
          <w:shd w:val="clear" w:color="FFFFFF" w:fill="FFFFFF"/>
        </w:rPr>
        <w:t>严格执行国家法规，并制定了预算管理制度、财务收支管理制度、票据领用登记制度、会计档案管理制度等各项内控稽核制度，按照收支两条线的管理原则，严格资金存款、流动报批手续，规范基金运作程序。切实建立起“资金运作事前报告制度”，凡运营的每笔资金，均须事前进行充分的调研论证，经同级财政部门同意后实施，资金必须专款专用，坚决杜绝违规动用。</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lang w:val="en-US" w:eastAsia="zh-CN"/>
        </w:rPr>
        <w:t>4、</w:t>
      </w:r>
      <w:r>
        <w:rPr>
          <w:rStyle w:val="12"/>
          <w:rFonts w:hint="eastAsia" w:ascii="仿宋" w:hAnsi="仿宋" w:eastAsia="仿宋" w:cs="仿宋"/>
          <w:b w:val="0"/>
          <w:color w:val="auto"/>
          <w:sz w:val="32"/>
          <w:szCs w:val="32"/>
        </w:rPr>
        <w:t>日常检查监督管理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为加强项目的有效监管，由承担单位定期组织对项目组织管理与制度执行情况、项目规划设计和预算执行情况、项目建设工程任务完成情况、项目资金使用与管理情况、项目验收</w:t>
      </w:r>
      <w:r>
        <w:rPr>
          <w:rStyle w:val="12"/>
          <w:rFonts w:hint="eastAsia" w:ascii="仿宋" w:hAnsi="仿宋" w:eastAsia="仿宋" w:cs="仿宋"/>
          <w:b w:val="0"/>
          <w:color w:val="auto"/>
          <w:sz w:val="32"/>
          <w:szCs w:val="32"/>
          <w:lang w:eastAsia="zh-CN"/>
        </w:rPr>
        <w:t>等</w:t>
      </w:r>
      <w:r>
        <w:rPr>
          <w:rStyle w:val="12"/>
          <w:rFonts w:hint="eastAsia" w:ascii="仿宋" w:hAnsi="仿宋" w:eastAsia="仿宋" w:cs="仿宋"/>
          <w:b w:val="0"/>
          <w:color w:val="auto"/>
          <w:sz w:val="32"/>
          <w:szCs w:val="32"/>
        </w:rPr>
        <w:t>情况、项目档案资料管理情况等内容开展专项检查或者不定期抽查，开展监督检查措施，主要是内业检查、质量跟踪、开展审计等措施，强化项目的动态监管，确保项目质量。</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总的来说，</w:t>
      </w:r>
      <w:r>
        <w:rPr>
          <w:rFonts w:hint="eastAsia" w:ascii="仿宋" w:hAnsi="仿宋" w:eastAsia="仿宋" w:cs="仿宋"/>
          <w:color w:val="auto"/>
          <w:sz w:val="32"/>
          <w:szCs w:val="32"/>
        </w:rPr>
        <w:t>该项目制定的实施方案目标任务明确，</w:t>
      </w:r>
      <w:r>
        <w:rPr>
          <w:rFonts w:hint="eastAsia" w:ascii="仿宋" w:hAnsi="仿宋" w:eastAsia="仿宋" w:cs="仿宋"/>
          <w:color w:val="auto"/>
          <w:sz w:val="32"/>
          <w:szCs w:val="32"/>
          <w:lang w:eastAsia="zh-CN"/>
        </w:rPr>
        <w:t>项目预算与绩效目标、项目内容相匹配，预算编制符合相关规定，编制依据充分，投入产出较为合理。项目单位组织机构健全。职责分工明确。各项管理制度较为健全，组织管理措施科学、可行。可以保证项目实施的有效性。</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（四）预期绩效的可持续性</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1、项目依据的政策具有可持续性。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Fonts w:hint="eastAsia" w:ascii="仿宋" w:hAnsi="仿宋" w:eastAsia="仿宋" w:cs="仿宋"/>
          <w:color w:val="auto"/>
          <w:sz w:val="32"/>
          <w:szCs w:val="32"/>
          <w:lang w:val="en-US" w:eastAsia="zh-CN"/>
        </w:rPr>
        <w:t>项目符合国家法律法规，相关政策要求会持续存在，且随着经济社会发展水平的提升，相关政策会越来越完善。从大</w:t>
      </w:r>
      <w:r>
        <w:rPr>
          <w:rStyle w:val="12"/>
          <w:rFonts w:hint="eastAsia" w:ascii="仿宋" w:hAnsi="仿宋" w:eastAsia="仿宋" w:cs="仿宋"/>
          <w:b w:val="0"/>
          <w:color w:val="auto"/>
          <w:sz w:val="32"/>
          <w:szCs w:val="32"/>
          <w:lang w:val="en-US" w:eastAsia="zh-CN"/>
        </w:rPr>
        <w:t>的政策方向看具有可持续性。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2、项目实施的组织机构具有可持续性。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民丰县财政局作为组织管理机构，属于政府工作部门，且财政拨款能够保障项目实施资金来源。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val="en-US" w:eastAsia="zh-CN"/>
        </w:rPr>
      </w:pPr>
      <w:r>
        <w:rPr>
          <w:rStyle w:val="12"/>
          <w:rFonts w:hint="eastAsia" w:ascii="仿宋" w:hAnsi="仿宋" w:eastAsia="仿宋" w:cs="仿宋"/>
          <w:b w:val="0"/>
          <w:color w:val="auto"/>
          <w:sz w:val="32"/>
          <w:szCs w:val="32"/>
          <w:lang w:val="en-US" w:eastAsia="zh-CN"/>
        </w:rPr>
        <w:t>3、项目产出及效果具有可持续性。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lang w:val="en-US" w:eastAsia="zh-CN"/>
        </w:rPr>
        <w:t>项目执行期间严格执行资金管理办法和财政资金管理制度，能按照实施方案执行项目管理。专项资金专款专用，严格使用、管理、保障到位。专项资金由县财政局统一管理拨付到项目实施单位，严格按照项目实施进度分批次拨付，通过各个部门的项目配合，相互监督，协调合作。项目实施单位严格执行各项规章制度，</w:t>
      </w:r>
      <w:r>
        <w:rPr>
          <w:rStyle w:val="12"/>
          <w:rFonts w:hint="eastAsia" w:ascii="仿宋" w:hAnsi="仿宋" w:eastAsia="仿宋" w:cs="仿宋"/>
          <w:b w:val="0"/>
          <w:color w:val="auto"/>
          <w:sz w:val="32"/>
          <w:szCs w:val="32"/>
          <w:lang w:eastAsia="zh-CN"/>
        </w:rPr>
        <w:t>能够确保项目产出与效益的完成。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Style w:val="12"/>
          <w:rFonts w:hint="eastAsia" w:ascii="仿宋" w:hAnsi="仿宋" w:eastAsia="仿宋" w:cs="仿宋"/>
          <w:b w:val="0"/>
          <w:bCs/>
          <w:color w:val="auto"/>
          <w:sz w:val="32"/>
          <w:szCs w:val="32"/>
          <w:lang w:eastAsia="zh-CN"/>
        </w:rPr>
        <w:t>总的来说，项目立项依据及政策具有可持续性，项目实施所需的组织机构具有可持续性，项目</w:t>
      </w:r>
      <w:r>
        <w:rPr>
          <w:rStyle w:val="12"/>
          <w:rFonts w:hint="eastAsia" w:ascii="仿宋" w:hAnsi="仿宋" w:eastAsia="仿宋" w:cs="仿宋"/>
          <w:b w:val="0"/>
          <w:bCs/>
          <w:color w:val="auto"/>
          <w:sz w:val="32"/>
          <w:szCs w:val="32"/>
          <w:lang w:val="en-US" w:eastAsia="zh-CN"/>
        </w:rPr>
        <w:t>产出及效果具有可持续性。故，该项目可持续性较强。</w:t>
      </w:r>
    </w:p>
    <w:p>
      <w:pPr>
        <w:ind w:firstLine="643" w:firstLineChars="200"/>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rPr>
        <w:t>（五）财政资金投入的可行性风险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自本项目启动开始，实施单位严格执行财务会计各项制度、项目资金使用各项制度，严格按照《财政预算资金拨付管理暂行办法》执行。同时，该项目将严格按照基本项目管理程序，严格执行实施方案的有关要求，严格按照批准的项目主要内容、标准组织项目实施，未随意调整项目内容，无新增政府债务或隐性债务。因此不存在财政资金重复投入风险，财政资金投入风险基本可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四、评估结论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通过对该项目进行评估，项目相关性显著，绩效可实现性较强，实施方案基本有效，预期绩效具有一定可持续性，且财政资金投入风险基本可控。对该项目应“予以支持”。</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五、评估的相关建议</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绩效目标制订有待精细化</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绩效目标包括总目标和阶段分目标，项目绩效目标的制定一般要符合SMART原则，即目标必须是明确的、目标必须是可衡量的、目标必须是可实现的，目标必须与其他目标具有相关性、目标必须有明确的截止期限。</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项目分阶段预算与目标匹配程度有待提升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预算的制定应与项目目标相匹配。从项目总体看，项目预算与目标是匹配的。项目预算以项目相应内容为主要依据，项目目标总体上与城市发展的目标一致。项目预算与项目目标紧密联系，两者在质和量上都是匹配的。从质上看，预算资金的流向与目标指标的设定相一致，即项目各项目标的设定与项目资金预算的结果，项目预算作为一个整体推动项目绩效总体目标的实现，而总体目标的实现又是以预算的合理安排为前提；从量上看，两者的度是相适应的，即预算的金额数充分考虑了项目的主要内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六、其他需要说明的问题</w:t>
      </w:r>
    </w:p>
    <w:p>
      <w:pPr>
        <w:pStyle w:val="5"/>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lang w:val="en-US" w:eastAsia="zh-CN"/>
        </w:rPr>
        <w:t>本项目评估报告是评估小组根据项目单位所提供的材料进行全面分析与评估，结合现场考察情况，在专家评价意见的基础上综合形成的报告。本报告的结论与意见是参考性的，仅供财政部门批复预算时使用。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七、附件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（一）相关背景及发展规划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1、国家、地区相关法律、法规和规章制度：</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highlight w:val="none"/>
          <w:lang w:val="en-US" w:eastAsia="zh-CN" w:bidi="ar-SA"/>
        </w:rPr>
        <w:t>（1）</w:t>
      </w:r>
      <w:r>
        <w:rPr>
          <w:rFonts w:hint="eastAsia" w:ascii="仿宋" w:hAnsi="仿宋" w:eastAsia="仿宋" w:cs="仿宋"/>
          <w:color w:val="auto"/>
          <w:kern w:val="2"/>
          <w:sz w:val="32"/>
          <w:szCs w:val="32"/>
          <w:lang w:val="en-US" w:eastAsia="zh-CN" w:bidi="ar-SA"/>
        </w:rPr>
        <w:t>《中华人民共和国会计法》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（2）《行政事业单位财务管理规定》</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（3）中共中央、国务院《关于全面实施预算绩效管理的意见》（中发〔2018〕34号文）</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（4）自治区党委、自治区人民政府《关于全面实施预算绩效管理的实施意见》（新党发〔2018〕30号文）</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（5）《财政部关于印发预算绩效考核工作的通知》（财预〔2015〕25号）</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（6）《中华人民共和国预算法》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2、部门和行业的发展规划（计划）：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（1）《关于印发&lt;自治区本级部门预算绩效目标管理暂行办法&gt;》（新财预〔2018〕21号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（2）《和田地区财政资金使用跟踪反馈管理暂行办法》（和地财政[2018]67号）</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4" w:firstLineChars="300"/>
        <w:jc w:val="both"/>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kern w:val="2"/>
          <w:sz w:val="32"/>
          <w:szCs w:val="32"/>
          <w:lang w:val="en-US" w:eastAsia="zh-CN" w:bidi="ar-SA"/>
        </w:rPr>
        <w:t>3、</w:t>
      </w:r>
      <w:r>
        <w:rPr>
          <w:rFonts w:hint="eastAsia" w:ascii="仿宋" w:hAnsi="仿宋" w:eastAsia="仿宋" w:cs="仿宋"/>
          <w:b/>
          <w:bCs/>
          <w:color w:val="auto"/>
          <w:sz w:val="32"/>
          <w:szCs w:val="32"/>
        </w:rPr>
        <w:t>单位职能及单位简介</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ascii="仿宋_GB2312" w:hAnsi="宋体" w:eastAsia="仿宋_GB2312" w:cs="宋体"/>
          <w:kern w:val="0"/>
          <w:sz w:val="32"/>
          <w:szCs w:val="32"/>
        </w:rPr>
      </w:pPr>
      <w:r>
        <w:rPr>
          <w:rFonts w:hint="eastAsia" w:ascii="仿宋_GB2312" w:hAnsi="黑体" w:eastAsia="仿宋_GB2312" w:cs="宋体"/>
          <w:bCs/>
          <w:kern w:val="0"/>
          <w:sz w:val="32"/>
          <w:szCs w:val="32"/>
          <w:lang w:eastAsia="zh-CN"/>
        </w:rPr>
        <w:t>民丰县财政局</w:t>
      </w:r>
      <w:r>
        <w:rPr>
          <w:rFonts w:hint="eastAsia" w:ascii="仿宋_GB2312" w:hAnsi="黑体" w:eastAsia="仿宋_GB2312" w:cs="宋体"/>
          <w:bCs/>
          <w:kern w:val="0"/>
          <w:sz w:val="32"/>
          <w:szCs w:val="32"/>
        </w:rPr>
        <w:t>无下属预算单位，</w:t>
      </w:r>
      <w:r>
        <w:rPr>
          <w:rFonts w:hint="eastAsia" w:ascii="仿宋_GB2312" w:hAnsi="宋体" w:eastAsia="仿宋_GB2312" w:cs="宋体"/>
          <w:kern w:val="0"/>
          <w:sz w:val="32"/>
          <w:szCs w:val="32"/>
          <w:lang w:eastAsia="zh-CN"/>
        </w:rPr>
        <w:t>民丰县财政局</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rPr>
        <w:t>下设</w:t>
      </w:r>
      <w:r>
        <w:rPr>
          <w:rFonts w:hint="eastAsia" w:ascii="仿宋_GB2312" w:hAnsi="黑体" w:eastAsia="仿宋_GB2312" w:cs="宋体"/>
          <w:bCs/>
          <w:kern w:val="0"/>
          <w:sz w:val="32"/>
          <w:szCs w:val="32"/>
          <w:lang w:val="en-US" w:eastAsia="zh-CN"/>
        </w:rPr>
        <w:t>9</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lang w:eastAsia="zh-CN"/>
        </w:rPr>
        <w:t>国库股、预算股、行政政法股、教科文股、综合股、金财股、经建股、农财股、国库支付中心</w:t>
      </w:r>
      <w:r>
        <w:rPr>
          <w:rFonts w:hint="eastAsia" w:ascii="仿宋_GB2312" w:hAnsi="宋体" w:eastAsia="仿宋_GB2312" w:cs="宋体"/>
          <w:kern w:val="0"/>
          <w:sz w:val="32"/>
          <w:szCs w:val="32"/>
        </w:rPr>
        <w:t>。</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_GB2312" w:hAnsi="宋体" w:eastAsia="仿宋_GB2312" w:cs="宋体"/>
          <w:kern w:val="0"/>
          <w:sz w:val="32"/>
          <w:szCs w:val="32"/>
          <w:lang w:eastAsia="zh-CN"/>
        </w:rPr>
        <w:t>民丰县财政局</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21</w:t>
      </w:r>
      <w:r>
        <w:rPr>
          <w:rFonts w:hint="eastAsia" w:ascii="仿宋_GB2312" w:hAnsi="宋体" w:eastAsia="仿宋_GB2312" w:cs="宋体"/>
          <w:kern w:val="0"/>
          <w:sz w:val="32"/>
          <w:szCs w:val="32"/>
        </w:rPr>
        <w:t xml:space="preserve"> ，实有人数</w:t>
      </w:r>
      <w:r>
        <w:rPr>
          <w:rFonts w:hint="eastAsia" w:ascii="仿宋_GB2312" w:hAnsi="宋体" w:eastAsia="仿宋_GB2312" w:cs="宋体"/>
          <w:kern w:val="0"/>
          <w:sz w:val="32"/>
          <w:szCs w:val="32"/>
          <w:lang w:val="en-US" w:eastAsia="zh-CN"/>
        </w:rPr>
        <w:t>21</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w:t>
      </w:r>
      <w:r>
        <w:rPr>
          <w:rFonts w:hint="eastAsia" w:ascii="仿宋" w:hAnsi="仿宋" w:eastAsia="仿宋" w:cs="仿宋"/>
          <w:color w:val="auto"/>
          <w:sz w:val="32"/>
          <w:szCs w:val="32"/>
          <w:highlight w:val="none"/>
          <w:lang w:val="en-US" w:eastAsia="zh-CN"/>
        </w:rPr>
        <w:t>民丰县财政局为人民政府工作部门，主要职责如下：</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1、贯彻执行国家财政、税收、行政事业单位国有资产管理法规、制度和方针政策；组织起草财政、财务、会计管理、行政事业单位国有资产管理等方面的地方性法规，制定部门规章制度，并监督实施。</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根据国民经济和社会发展战略，拟定财政发展战略、中长期财政规划和改革方案并组织实施；分析预测宏观经济形势，参与制定宏观经济政策，提出运用财税政策实施宏观经济调控和综合平衡社会财力的建议；拟订与各单位、财政与企业的分配政策，制定调节收入分配的财税政策，完善促进社会事业发展的财税政策。</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承担各项财政收支管理责任；负责编制民丰县本级预决算草案并组织执行；受民丰县人民政府委托向民丰县人民代表大会报告县级和全县预算及其执行情况，向民丰县人大常委会报告决算；组织实施专项资金绩效考核工作；组织制定经费开支标准、定额，负责财政预决算工作；完善民丰县对下转移支付制度。</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负责组织起草地方性税收立法计划、税收法规草案及其实施细则和税收政策调整方案，按照管理权限拟定减免税规定和对民丰县预算影响较大的临时和特殊的地方税减免事项；负责政府非税收入和政府性基金管理；监管财政票据；制定彩票管理政策和有关办法，按规定管理彩票资金。</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5、组织制定民丰县国库管理制度、国库集中收付制度，按规定开展民丰县国库现金管理工作，管理监督地方国库资金缴拨使用；负责制定民丰县政府采购制度并监督管理；管理民丰县财政统一发放工资工作。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负责制定民丰县行政事业单位国有资产管理规章制度，按规定管理行政事业单位国有资产，拟定和执行需要全县统一规定的开支标准和支出政策；管理民丰县财政预算内行政机构、事业单位和社会团体非贸易非经营性用汇。</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7、拟定和执行地方政府性债务管理制度和办法，按规定开展地方政府债券管理工作；管理国债资金，防范财政风险；负责管理政府外债，组织实施外国政府、国际金融组织贷款项目和审核、申报、转贷、签订贷款协定以及资金管理工作；承担地方金融企业的国有资产和财务的监管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参与拟定民丰县建设投资的有关政策，制定民丰县基本建设财务管理制度，负责中央和民丰县政府性投资项目财政资金管理工作；承担有关政策性补贴和专项储备资金财政管理工作；管理农业综合开发项目、资金及财务；管理各项财政扶贫资金。</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9、会同民丰县有关部门管理财政社会保障和就业及医疗卫生资金，会同民丰县有关部门研究制定社会保障资金（基金）政策和有关的财务管理制度，编制民丰县社会保障预决算草案。</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10、负责审核和汇总编制全县国有资本经营预决算草案，制定国有资本经营预算的制度和办法，收取民丰县本级企业国有资本收益；组织实施企业财务制度，参与制定企业国有资产管理相关制度。</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11、管理和指导全县会计工作，规范会计行为；组织执行国家统一的会计制度，制定补充规定并贯彻执行；组织管理会计人员的业务培训和会计人员从业资格；指导和监督注册会计师和会计师事务所业务工作；指导和监督注册资产评估师和资产评估师事务所业务工作；指导和管理社会审计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12、监督检查财税法规、政策的执行情况，反映财政收支管理中的重大问题，提出加强财政管理的政策建议；负责民丰县财政系统信息化建设（金财工程）规划，并组织实施。</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13、承办民丰县人民政府交办的其他事项。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（二）立项申请材料</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1.实施方案</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3" w:firstLineChars="200"/>
        <w:jc w:val="both"/>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预算申请材料</w:t>
      </w:r>
    </w:p>
    <w:p>
      <w:pPr>
        <w:pStyle w:val="5"/>
        <w:ind w:left="0" w:leftChars="0" w:firstLine="640" w:firstLineChars="200"/>
        <w:rPr>
          <w:rFonts w:hint="eastAsia" w:ascii="仿宋" w:hAnsi="仿宋" w:eastAsia="仿宋" w:cs="仿宋"/>
          <w:color w:val="auto"/>
          <w:sz w:val="32"/>
          <w:szCs w:val="32"/>
        </w:rPr>
      </w:pPr>
      <w:r>
        <w:rPr>
          <w:rFonts w:hint="eastAsia" w:ascii="仿宋" w:hAnsi="仿宋" w:eastAsia="仿宋" w:cs="仿宋"/>
          <w:bCs/>
          <w:color w:val="auto"/>
          <w:sz w:val="32"/>
          <w:szCs w:val="32"/>
          <w:lang w:val="en-US" w:eastAsia="zh-CN"/>
        </w:rPr>
        <w:t>《</w:t>
      </w:r>
      <w:r>
        <w:rPr>
          <w:rFonts w:hint="eastAsia" w:ascii="仿宋" w:hAnsi="仿宋" w:eastAsia="仿宋" w:cs="仿宋"/>
          <w:color w:val="auto"/>
          <w:kern w:val="2"/>
          <w:sz w:val="32"/>
          <w:szCs w:val="32"/>
          <w:lang w:val="en-US" w:eastAsia="zh-CN" w:bidi="ar-SA"/>
        </w:rPr>
        <w:t>绩效管理服务费项目</w:t>
      </w:r>
      <w:r>
        <w:rPr>
          <w:rFonts w:hint="eastAsia" w:ascii="仿宋" w:hAnsi="仿宋" w:eastAsia="仿宋" w:cs="仿宋"/>
          <w:color w:val="auto"/>
          <w:kern w:val="2"/>
          <w:sz w:val="32"/>
          <w:szCs w:val="32"/>
          <w:lang w:eastAsia="zh-CN"/>
        </w:rPr>
        <w:t>预算明细表》</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相关管理制度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00" w:firstLineChars="200"/>
        <w:jc w:val="both"/>
        <w:textAlignment w:val="auto"/>
        <w:outlineLvl w:val="9"/>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《和田地区财政资金使用跟踪反馈管理暂行办法》</w:t>
      </w:r>
    </w:p>
    <w:p>
      <w:pPr>
        <w:pStyle w:val="2"/>
        <w:rPr>
          <w:rFonts w:hint="eastAsia"/>
          <w:lang w:val="en-US" w:eastAsia="zh-CN"/>
        </w:rPr>
      </w:pPr>
      <w:r>
        <w:rPr>
          <w:rStyle w:val="12"/>
          <w:rFonts w:hint="eastAsia" w:ascii="仿宋" w:hAnsi="仿宋" w:eastAsia="仿宋" w:cs="仿宋"/>
          <w:b w:val="0"/>
          <w:sz w:val="32"/>
          <w:szCs w:val="32"/>
        </w:rPr>
        <w:t>《财政预算资金拨付管理暂行办法》</w:t>
      </w:r>
    </w:p>
    <w:p>
      <w:pPr>
        <w:pStyle w:val="2"/>
        <w:ind w:left="0" w:leftChars="0"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其他材料</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68A044"/>
    <w:multiLevelType w:val="singleLevel"/>
    <w:tmpl w:val="E668A044"/>
    <w:lvl w:ilvl="0" w:tentative="0">
      <w:start w:val="4"/>
      <w:numFmt w:val="chineseCounting"/>
      <w:suff w:val="nothing"/>
      <w:lvlText w:val="（%1）"/>
      <w:lvlJc w:val="left"/>
      <w:rPr>
        <w:rFonts w:hint="eastAsia"/>
      </w:rPr>
    </w:lvl>
  </w:abstractNum>
  <w:abstractNum w:abstractNumId="1">
    <w:nsid w:val="5B5FFCFA"/>
    <w:multiLevelType w:val="singleLevel"/>
    <w:tmpl w:val="5B5FFCFA"/>
    <w:lvl w:ilvl="0" w:tentative="0">
      <w:start w:val="1"/>
      <w:numFmt w:val="decimal"/>
      <w:suff w:val="nothing"/>
      <w:lvlText w:val="%1、"/>
      <w:lvlJc w:val="left"/>
    </w:lvl>
  </w:abstractNum>
  <w:abstractNum w:abstractNumId="2">
    <w:nsid w:val="5DB816CF"/>
    <w:multiLevelType w:val="singleLevel"/>
    <w:tmpl w:val="5DB816CF"/>
    <w:lvl w:ilvl="0" w:tentative="0">
      <w:start w:val="3"/>
      <w:numFmt w:val="chineseCounting"/>
      <w:suff w:val="nothing"/>
      <w:lvlText w:val="（%1）"/>
      <w:lvlJc w:val="left"/>
    </w:lvl>
  </w:abstractNum>
  <w:abstractNum w:abstractNumId="3">
    <w:nsid w:val="7E9A1150"/>
    <w:multiLevelType w:val="singleLevel"/>
    <w:tmpl w:val="7E9A1150"/>
    <w:lvl w:ilvl="0" w:tentative="0">
      <w:start w:val="2"/>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B6478"/>
    <w:rsid w:val="00397AF4"/>
    <w:rsid w:val="00465207"/>
    <w:rsid w:val="007807C2"/>
    <w:rsid w:val="007E3496"/>
    <w:rsid w:val="009121D1"/>
    <w:rsid w:val="00CF3A5D"/>
    <w:rsid w:val="00F11E6D"/>
    <w:rsid w:val="00FA2FC5"/>
    <w:rsid w:val="01003464"/>
    <w:rsid w:val="01054869"/>
    <w:rsid w:val="013E0208"/>
    <w:rsid w:val="015D6FAE"/>
    <w:rsid w:val="016611EA"/>
    <w:rsid w:val="018D3C1F"/>
    <w:rsid w:val="01952116"/>
    <w:rsid w:val="01DE4F97"/>
    <w:rsid w:val="020E2A38"/>
    <w:rsid w:val="023B6478"/>
    <w:rsid w:val="02441943"/>
    <w:rsid w:val="02665869"/>
    <w:rsid w:val="028D0607"/>
    <w:rsid w:val="02991C3D"/>
    <w:rsid w:val="029A0A2C"/>
    <w:rsid w:val="02B50645"/>
    <w:rsid w:val="02D053DF"/>
    <w:rsid w:val="03316484"/>
    <w:rsid w:val="03442FFC"/>
    <w:rsid w:val="048248A9"/>
    <w:rsid w:val="04C402FF"/>
    <w:rsid w:val="04F66797"/>
    <w:rsid w:val="04FF4FEB"/>
    <w:rsid w:val="051D5A53"/>
    <w:rsid w:val="05453501"/>
    <w:rsid w:val="056370A6"/>
    <w:rsid w:val="0624262D"/>
    <w:rsid w:val="062F0312"/>
    <w:rsid w:val="069D6FC8"/>
    <w:rsid w:val="06C5743D"/>
    <w:rsid w:val="06F33AB3"/>
    <w:rsid w:val="06F50ADD"/>
    <w:rsid w:val="081D2AE1"/>
    <w:rsid w:val="083D4B34"/>
    <w:rsid w:val="084B2109"/>
    <w:rsid w:val="08AE13C8"/>
    <w:rsid w:val="08C600AA"/>
    <w:rsid w:val="08D9103A"/>
    <w:rsid w:val="09037F81"/>
    <w:rsid w:val="093443BE"/>
    <w:rsid w:val="09855E39"/>
    <w:rsid w:val="09A9167B"/>
    <w:rsid w:val="09AE1863"/>
    <w:rsid w:val="09B87218"/>
    <w:rsid w:val="09BB4B33"/>
    <w:rsid w:val="09E324BB"/>
    <w:rsid w:val="0A0F573C"/>
    <w:rsid w:val="0A2A388C"/>
    <w:rsid w:val="0A5B7D36"/>
    <w:rsid w:val="0AAA6A10"/>
    <w:rsid w:val="0B1A2168"/>
    <w:rsid w:val="0B396CF2"/>
    <w:rsid w:val="0B690F56"/>
    <w:rsid w:val="0BC010AA"/>
    <w:rsid w:val="0BEF7BAC"/>
    <w:rsid w:val="0BF523AE"/>
    <w:rsid w:val="0C0B76CB"/>
    <w:rsid w:val="0C1408A2"/>
    <w:rsid w:val="0C5D450C"/>
    <w:rsid w:val="0C693BC8"/>
    <w:rsid w:val="0CD97160"/>
    <w:rsid w:val="0D164497"/>
    <w:rsid w:val="0D2F3C2A"/>
    <w:rsid w:val="0D735489"/>
    <w:rsid w:val="0D871459"/>
    <w:rsid w:val="0E1136FA"/>
    <w:rsid w:val="0E1F7EE3"/>
    <w:rsid w:val="0E291CFB"/>
    <w:rsid w:val="0E5C4623"/>
    <w:rsid w:val="0E6E1D7A"/>
    <w:rsid w:val="0EB21CFF"/>
    <w:rsid w:val="0ED75B4F"/>
    <w:rsid w:val="0EED2D82"/>
    <w:rsid w:val="0F3225A0"/>
    <w:rsid w:val="0F3F0A88"/>
    <w:rsid w:val="0F9C2846"/>
    <w:rsid w:val="0FA56207"/>
    <w:rsid w:val="0FD659DE"/>
    <w:rsid w:val="0FED7C80"/>
    <w:rsid w:val="10096F34"/>
    <w:rsid w:val="100E4185"/>
    <w:rsid w:val="101C44CA"/>
    <w:rsid w:val="108E1F4B"/>
    <w:rsid w:val="10C2201B"/>
    <w:rsid w:val="10E66A06"/>
    <w:rsid w:val="11541EAC"/>
    <w:rsid w:val="116A39F3"/>
    <w:rsid w:val="11E62032"/>
    <w:rsid w:val="124475C0"/>
    <w:rsid w:val="12500305"/>
    <w:rsid w:val="12671BD6"/>
    <w:rsid w:val="127D22E8"/>
    <w:rsid w:val="12A34336"/>
    <w:rsid w:val="12B10B1A"/>
    <w:rsid w:val="12D62353"/>
    <w:rsid w:val="12E103F4"/>
    <w:rsid w:val="12E74AA5"/>
    <w:rsid w:val="13236DB9"/>
    <w:rsid w:val="133A7289"/>
    <w:rsid w:val="13F32B33"/>
    <w:rsid w:val="140F11BE"/>
    <w:rsid w:val="143C2425"/>
    <w:rsid w:val="144F2B6E"/>
    <w:rsid w:val="14AC247C"/>
    <w:rsid w:val="14C76EEA"/>
    <w:rsid w:val="14CD7F05"/>
    <w:rsid w:val="152F0223"/>
    <w:rsid w:val="15953456"/>
    <w:rsid w:val="15980F03"/>
    <w:rsid w:val="15B24EC8"/>
    <w:rsid w:val="15C50BAE"/>
    <w:rsid w:val="15DA1AE2"/>
    <w:rsid w:val="16181E76"/>
    <w:rsid w:val="16E846AC"/>
    <w:rsid w:val="17104F41"/>
    <w:rsid w:val="17121753"/>
    <w:rsid w:val="171A0E2E"/>
    <w:rsid w:val="177E0220"/>
    <w:rsid w:val="17DA7A45"/>
    <w:rsid w:val="17F515A4"/>
    <w:rsid w:val="189D2E13"/>
    <w:rsid w:val="18A5269F"/>
    <w:rsid w:val="18BB22DE"/>
    <w:rsid w:val="18C5724C"/>
    <w:rsid w:val="18CE002D"/>
    <w:rsid w:val="18F5208F"/>
    <w:rsid w:val="190D0125"/>
    <w:rsid w:val="19BD0569"/>
    <w:rsid w:val="19C53504"/>
    <w:rsid w:val="19FC7DC3"/>
    <w:rsid w:val="1A2069B5"/>
    <w:rsid w:val="1A3F4E5A"/>
    <w:rsid w:val="1AED67B7"/>
    <w:rsid w:val="1AF2441A"/>
    <w:rsid w:val="1AFD7E1D"/>
    <w:rsid w:val="1B1833DD"/>
    <w:rsid w:val="1B6D2A3D"/>
    <w:rsid w:val="1B846282"/>
    <w:rsid w:val="1BD6480C"/>
    <w:rsid w:val="1BF86A46"/>
    <w:rsid w:val="1C2A4CC1"/>
    <w:rsid w:val="1C5822F6"/>
    <w:rsid w:val="1C675967"/>
    <w:rsid w:val="1C6D6F94"/>
    <w:rsid w:val="1C90583C"/>
    <w:rsid w:val="1CDC3433"/>
    <w:rsid w:val="1D094B5A"/>
    <w:rsid w:val="1D2A2BC3"/>
    <w:rsid w:val="1D2C7E00"/>
    <w:rsid w:val="1D6337F7"/>
    <w:rsid w:val="1D8071C9"/>
    <w:rsid w:val="1D811C8B"/>
    <w:rsid w:val="1DC55B79"/>
    <w:rsid w:val="1DCD0432"/>
    <w:rsid w:val="1DF448FC"/>
    <w:rsid w:val="1E7E35C2"/>
    <w:rsid w:val="1E9F6AD0"/>
    <w:rsid w:val="1EF55CF3"/>
    <w:rsid w:val="1F1D3673"/>
    <w:rsid w:val="1F5904D4"/>
    <w:rsid w:val="1FBB2B82"/>
    <w:rsid w:val="1FE83678"/>
    <w:rsid w:val="201662C5"/>
    <w:rsid w:val="201961B2"/>
    <w:rsid w:val="20311205"/>
    <w:rsid w:val="20397AF8"/>
    <w:rsid w:val="20764F86"/>
    <w:rsid w:val="208E4E20"/>
    <w:rsid w:val="20C74BE2"/>
    <w:rsid w:val="20DE327E"/>
    <w:rsid w:val="20EE5F93"/>
    <w:rsid w:val="20F23CAF"/>
    <w:rsid w:val="20FF1B61"/>
    <w:rsid w:val="21083E69"/>
    <w:rsid w:val="21393877"/>
    <w:rsid w:val="21431117"/>
    <w:rsid w:val="21473D45"/>
    <w:rsid w:val="21B6514D"/>
    <w:rsid w:val="21E97E9F"/>
    <w:rsid w:val="21F9537E"/>
    <w:rsid w:val="224D3D43"/>
    <w:rsid w:val="225754E8"/>
    <w:rsid w:val="227253D3"/>
    <w:rsid w:val="229560E4"/>
    <w:rsid w:val="22F02F92"/>
    <w:rsid w:val="233317E1"/>
    <w:rsid w:val="233D2223"/>
    <w:rsid w:val="23537BE5"/>
    <w:rsid w:val="238E08B1"/>
    <w:rsid w:val="24032071"/>
    <w:rsid w:val="243B7DDA"/>
    <w:rsid w:val="243F6E75"/>
    <w:rsid w:val="244664A7"/>
    <w:rsid w:val="245B42B1"/>
    <w:rsid w:val="246B2D18"/>
    <w:rsid w:val="24893F5A"/>
    <w:rsid w:val="249B2350"/>
    <w:rsid w:val="253761F4"/>
    <w:rsid w:val="256845FE"/>
    <w:rsid w:val="256A3A54"/>
    <w:rsid w:val="25B440FD"/>
    <w:rsid w:val="25B60E72"/>
    <w:rsid w:val="25C16B5C"/>
    <w:rsid w:val="25D57DAD"/>
    <w:rsid w:val="25D91A6E"/>
    <w:rsid w:val="25E053D5"/>
    <w:rsid w:val="25E556FF"/>
    <w:rsid w:val="25FA7938"/>
    <w:rsid w:val="26032524"/>
    <w:rsid w:val="267601BD"/>
    <w:rsid w:val="26901D18"/>
    <w:rsid w:val="26DD4C0F"/>
    <w:rsid w:val="26E240B6"/>
    <w:rsid w:val="27583C23"/>
    <w:rsid w:val="275E5166"/>
    <w:rsid w:val="277942F2"/>
    <w:rsid w:val="28361A5A"/>
    <w:rsid w:val="28D01E46"/>
    <w:rsid w:val="292561EF"/>
    <w:rsid w:val="29BC098F"/>
    <w:rsid w:val="2A5461A7"/>
    <w:rsid w:val="2A656172"/>
    <w:rsid w:val="2A8A36C4"/>
    <w:rsid w:val="2A8E7BD3"/>
    <w:rsid w:val="2A943931"/>
    <w:rsid w:val="2ACB416E"/>
    <w:rsid w:val="2AE01B8C"/>
    <w:rsid w:val="2AF50BFD"/>
    <w:rsid w:val="2B201276"/>
    <w:rsid w:val="2B39119E"/>
    <w:rsid w:val="2B4C43A8"/>
    <w:rsid w:val="2B650AF2"/>
    <w:rsid w:val="2B85322B"/>
    <w:rsid w:val="2B971008"/>
    <w:rsid w:val="2BC66837"/>
    <w:rsid w:val="2C0C3782"/>
    <w:rsid w:val="2C0E7826"/>
    <w:rsid w:val="2C2D141C"/>
    <w:rsid w:val="2C9F6671"/>
    <w:rsid w:val="2CC259C4"/>
    <w:rsid w:val="2D1550A4"/>
    <w:rsid w:val="2D202C76"/>
    <w:rsid w:val="2D2D1385"/>
    <w:rsid w:val="2D666E4B"/>
    <w:rsid w:val="2DE00031"/>
    <w:rsid w:val="2DF15DFD"/>
    <w:rsid w:val="2DF9711E"/>
    <w:rsid w:val="2E0C5F32"/>
    <w:rsid w:val="2E413A5C"/>
    <w:rsid w:val="2EB85E49"/>
    <w:rsid w:val="2ECC2D36"/>
    <w:rsid w:val="2ED13D73"/>
    <w:rsid w:val="2EF20553"/>
    <w:rsid w:val="2F14784F"/>
    <w:rsid w:val="2F5D13E8"/>
    <w:rsid w:val="2F81408F"/>
    <w:rsid w:val="2F976B05"/>
    <w:rsid w:val="2FAE2071"/>
    <w:rsid w:val="2FFA6DE3"/>
    <w:rsid w:val="2FFC1048"/>
    <w:rsid w:val="30370CE7"/>
    <w:rsid w:val="305119C6"/>
    <w:rsid w:val="30834838"/>
    <w:rsid w:val="316005CA"/>
    <w:rsid w:val="31BA1F08"/>
    <w:rsid w:val="31BF65A1"/>
    <w:rsid w:val="31C716F6"/>
    <w:rsid w:val="31F54E76"/>
    <w:rsid w:val="31F83C25"/>
    <w:rsid w:val="32061986"/>
    <w:rsid w:val="322F7F95"/>
    <w:rsid w:val="32400D9D"/>
    <w:rsid w:val="32990636"/>
    <w:rsid w:val="32A04722"/>
    <w:rsid w:val="337A0897"/>
    <w:rsid w:val="33B456FA"/>
    <w:rsid w:val="34070494"/>
    <w:rsid w:val="34085CD3"/>
    <w:rsid w:val="34406AEB"/>
    <w:rsid w:val="34F125F4"/>
    <w:rsid w:val="34FB2401"/>
    <w:rsid w:val="35062951"/>
    <w:rsid w:val="35586770"/>
    <w:rsid w:val="361F00E6"/>
    <w:rsid w:val="36417CB2"/>
    <w:rsid w:val="36494625"/>
    <w:rsid w:val="364C3CCF"/>
    <w:rsid w:val="364E633A"/>
    <w:rsid w:val="367C61D6"/>
    <w:rsid w:val="3700231F"/>
    <w:rsid w:val="37314123"/>
    <w:rsid w:val="37535DB9"/>
    <w:rsid w:val="376626F1"/>
    <w:rsid w:val="3773532D"/>
    <w:rsid w:val="37F05A02"/>
    <w:rsid w:val="37FE6A65"/>
    <w:rsid w:val="3825394A"/>
    <w:rsid w:val="38A64651"/>
    <w:rsid w:val="392F6990"/>
    <w:rsid w:val="39516C4E"/>
    <w:rsid w:val="39615F39"/>
    <w:rsid w:val="397607DB"/>
    <w:rsid w:val="397B0692"/>
    <w:rsid w:val="398B5F64"/>
    <w:rsid w:val="39E41117"/>
    <w:rsid w:val="39F118B9"/>
    <w:rsid w:val="3A1E5BAB"/>
    <w:rsid w:val="3A3B4992"/>
    <w:rsid w:val="3A3C7EEF"/>
    <w:rsid w:val="3A721A6F"/>
    <w:rsid w:val="3A8C361B"/>
    <w:rsid w:val="3AD1374D"/>
    <w:rsid w:val="3B1C0595"/>
    <w:rsid w:val="3B2C53E9"/>
    <w:rsid w:val="3B4A7EBC"/>
    <w:rsid w:val="3B6F178F"/>
    <w:rsid w:val="3B7A677E"/>
    <w:rsid w:val="3B842124"/>
    <w:rsid w:val="3C174189"/>
    <w:rsid w:val="3C482A47"/>
    <w:rsid w:val="3C484CE8"/>
    <w:rsid w:val="3C8E3EE0"/>
    <w:rsid w:val="3D025608"/>
    <w:rsid w:val="3D1C7968"/>
    <w:rsid w:val="3D2730D3"/>
    <w:rsid w:val="3D35359E"/>
    <w:rsid w:val="3D516A21"/>
    <w:rsid w:val="3D807338"/>
    <w:rsid w:val="3DCA4EA9"/>
    <w:rsid w:val="3DEA7368"/>
    <w:rsid w:val="3E0C4C30"/>
    <w:rsid w:val="3E5E524A"/>
    <w:rsid w:val="3E722AE1"/>
    <w:rsid w:val="3E975F6D"/>
    <w:rsid w:val="3ECE6B68"/>
    <w:rsid w:val="3EF415CA"/>
    <w:rsid w:val="3F390902"/>
    <w:rsid w:val="3FCE532D"/>
    <w:rsid w:val="3FE117F2"/>
    <w:rsid w:val="401C3517"/>
    <w:rsid w:val="40736A77"/>
    <w:rsid w:val="40921242"/>
    <w:rsid w:val="409D3644"/>
    <w:rsid w:val="40AD6D70"/>
    <w:rsid w:val="40CD3266"/>
    <w:rsid w:val="410E28F4"/>
    <w:rsid w:val="412F4064"/>
    <w:rsid w:val="41341A26"/>
    <w:rsid w:val="41C8702B"/>
    <w:rsid w:val="423C34A3"/>
    <w:rsid w:val="423F3E14"/>
    <w:rsid w:val="42A00E6C"/>
    <w:rsid w:val="42D3318F"/>
    <w:rsid w:val="42DD1372"/>
    <w:rsid w:val="42F479A5"/>
    <w:rsid w:val="432A543E"/>
    <w:rsid w:val="434B464C"/>
    <w:rsid w:val="43BD20C6"/>
    <w:rsid w:val="43EB4276"/>
    <w:rsid w:val="43EB6F1A"/>
    <w:rsid w:val="441253AF"/>
    <w:rsid w:val="4445673E"/>
    <w:rsid w:val="445F7B87"/>
    <w:rsid w:val="454F5806"/>
    <w:rsid w:val="456D7650"/>
    <w:rsid w:val="461A1D95"/>
    <w:rsid w:val="469F374B"/>
    <w:rsid w:val="46A07351"/>
    <w:rsid w:val="46B03C17"/>
    <w:rsid w:val="46B82D4C"/>
    <w:rsid w:val="46D41550"/>
    <w:rsid w:val="472A270B"/>
    <w:rsid w:val="476C6DBC"/>
    <w:rsid w:val="47B04F1B"/>
    <w:rsid w:val="47E44A8A"/>
    <w:rsid w:val="47EA0B06"/>
    <w:rsid w:val="47F64860"/>
    <w:rsid w:val="48456F93"/>
    <w:rsid w:val="485A270D"/>
    <w:rsid w:val="48820632"/>
    <w:rsid w:val="48CC2F48"/>
    <w:rsid w:val="48FC00D6"/>
    <w:rsid w:val="49022812"/>
    <w:rsid w:val="492B2C83"/>
    <w:rsid w:val="49A11CAE"/>
    <w:rsid w:val="4A4A53F5"/>
    <w:rsid w:val="4A66296B"/>
    <w:rsid w:val="4AED6187"/>
    <w:rsid w:val="4B0B6050"/>
    <w:rsid w:val="4B284138"/>
    <w:rsid w:val="4BCE04CE"/>
    <w:rsid w:val="4C0D65B0"/>
    <w:rsid w:val="4C404649"/>
    <w:rsid w:val="4C426EAA"/>
    <w:rsid w:val="4C665EA0"/>
    <w:rsid w:val="4CCA1849"/>
    <w:rsid w:val="4CDB3606"/>
    <w:rsid w:val="4D293056"/>
    <w:rsid w:val="4D301742"/>
    <w:rsid w:val="4D4E601A"/>
    <w:rsid w:val="4D841A4B"/>
    <w:rsid w:val="4D845A6E"/>
    <w:rsid w:val="4D9D7F5D"/>
    <w:rsid w:val="4DA242A1"/>
    <w:rsid w:val="4E0C1C90"/>
    <w:rsid w:val="4E2E73D9"/>
    <w:rsid w:val="4E360A1B"/>
    <w:rsid w:val="4E5E5023"/>
    <w:rsid w:val="4EEE29CC"/>
    <w:rsid w:val="4F172299"/>
    <w:rsid w:val="4FB47F8D"/>
    <w:rsid w:val="4FDC6038"/>
    <w:rsid w:val="4FEE31B4"/>
    <w:rsid w:val="502F050E"/>
    <w:rsid w:val="50B36A43"/>
    <w:rsid w:val="50DE6A72"/>
    <w:rsid w:val="512C21AD"/>
    <w:rsid w:val="513A4A0C"/>
    <w:rsid w:val="515D203B"/>
    <w:rsid w:val="51731038"/>
    <w:rsid w:val="517E2E87"/>
    <w:rsid w:val="51BA6ECA"/>
    <w:rsid w:val="51DA507E"/>
    <w:rsid w:val="51E151ED"/>
    <w:rsid w:val="52234B87"/>
    <w:rsid w:val="52563365"/>
    <w:rsid w:val="528D5F6D"/>
    <w:rsid w:val="529F3AC9"/>
    <w:rsid w:val="52B25F78"/>
    <w:rsid w:val="52BB3184"/>
    <w:rsid w:val="530C26BA"/>
    <w:rsid w:val="53980E8A"/>
    <w:rsid w:val="539A0105"/>
    <w:rsid w:val="53A065BD"/>
    <w:rsid w:val="53AD7A19"/>
    <w:rsid w:val="53D30C8E"/>
    <w:rsid w:val="54605EC3"/>
    <w:rsid w:val="546A1E8D"/>
    <w:rsid w:val="547D4F88"/>
    <w:rsid w:val="54883071"/>
    <w:rsid w:val="54A9646A"/>
    <w:rsid w:val="54AA2DFE"/>
    <w:rsid w:val="55004D62"/>
    <w:rsid w:val="550A54F0"/>
    <w:rsid w:val="5529221D"/>
    <w:rsid w:val="554A2391"/>
    <w:rsid w:val="55B9278C"/>
    <w:rsid w:val="55E91885"/>
    <w:rsid w:val="563E3515"/>
    <w:rsid w:val="563E77F5"/>
    <w:rsid w:val="56863D5F"/>
    <w:rsid w:val="5696324F"/>
    <w:rsid w:val="56E07BD7"/>
    <w:rsid w:val="56EE5C96"/>
    <w:rsid w:val="56F42115"/>
    <w:rsid w:val="572267AA"/>
    <w:rsid w:val="57455284"/>
    <w:rsid w:val="57652D51"/>
    <w:rsid w:val="57777A19"/>
    <w:rsid w:val="57A74CD8"/>
    <w:rsid w:val="57D761A5"/>
    <w:rsid w:val="58154C4E"/>
    <w:rsid w:val="58623BF8"/>
    <w:rsid w:val="58A83203"/>
    <w:rsid w:val="58CF5D32"/>
    <w:rsid w:val="58D35DD1"/>
    <w:rsid w:val="58D7335B"/>
    <w:rsid w:val="58EC2DBC"/>
    <w:rsid w:val="58FD4E82"/>
    <w:rsid w:val="592E39B3"/>
    <w:rsid w:val="593E7BB8"/>
    <w:rsid w:val="59402FE3"/>
    <w:rsid w:val="59565786"/>
    <w:rsid w:val="595F6581"/>
    <w:rsid w:val="59B53DEC"/>
    <w:rsid w:val="59BF354A"/>
    <w:rsid w:val="59E635EC"/>
    <w:rsid w:val="5A47403B"/>
    <w:rsid w:val="5A567AF4"/>
    <w:rsid w:val="5AB526C9"/>
    <w:rsid w:val="5AB82A9D"/>
    <w:rsid w:val="5ADC6962"/>
    <w:rsid w:val="5B1954BB"/>
    <w:rsid w:val="5B2E3EA6"/>
    <w:rsid w:val="5C12604D"/>
    <w:rsid w:val="5C6F2BA8"/>
    <w:rsid w:val="5D365CAA"/>
    <w:rsid w:val="5D4E431E"/>
    <w:rsid w:val="5DA23CD6"/>
    <w:rsid w:val="5E0A6E1D"/>
    <w:rsid w:val="5E200EDC"/>
    <w:rsid w:val="5E2B343A"/>
    <w:rsid w:val="5EB54F6C"/>
    <w:rsid w:val="5ECD572D"/>
    <w:rsid w:val="5EF920F0"/>
    <w:rsid w:val="5F0A79ED"/>
    <w:rsid w:val="5F2148C4"/>
    <w:rsid w:val="5F281735"/>
    <w:rsid w:val="5F540ABC"/>
    <w:rsid w:val="5F9B5736"/>
    <w:rsid w:val="5F9D2CE0"/>
    <w:rsid w:val="5FA52ED3"/>
    <w:rsid w:val="5FE23055"/>
    <w:rsid w:val="604757AA"/>
    <w:rsid w:val="607A1F3D"/>
    <w:rsid w:val="608C05CF"/>
    <w:rsid w:val="60991858"/>
    <w:rsid w:val="60EB6A4A"/>
    <w:rsid w:val="618D3A69"/>
    <w:rsid w:val="619E41FB"/>
    <w:rsid w:val="61A833F6"/>
    <w:rsid w:val="61B65781"/>
    <w:rsid w:val="61F71B20"/>
    <w:rsid w:val="62136EA9"/>
    <w:rsid w:val="6220691A"/>
    <w:rsid w:val="624A5550"/>
    <w:rsid w:val="62586AED"/>
    <w:rsid w:val="62711DF8"/>
    <w:rsid w:val="627A626D"/>
    <w:rsid w:val="62905E08"/>
    <w:rsid w:val="62907F02"/>
    <w:rsid w:val="62AC048E"/>
    <w:rsid w:val="62C428CB"/>
    <w:rsid w:val="62D44354"/>
    <w:rsid w:val="63232D81"/>
    <w:rsid w:val="63525110"/>
    <w:rsid w:val="635B43E3"/>
    <w:rsid w:val="63D26A20"/>
    <w:rsid w:val="63E04DC6"/>
    <w:rsid w:val="64146336"/>
    <w:rsid w:val="642C6C5F"/>
    <w:rsid w:val="642E1B9A"/>
    <w:rsid w:val="646E1E7F"/>
    <w:rsid w:val="64FD51A7"/>
    <w:rsid w:val="65585550"/>
    <w:rsid w:val="657610B9"/>
    <w:rsid w:val="65A77252"/>
    <w:rsid w:val="667F30D4"/>
    <w:rsid w:val="66FD2275"/>
    <w:rsid w:val="67097119"/>
    <w:rsid w:val="67184E82"/>
    <w:rsid w:val="6740230D"/>
    <w:rsid w:val="675E69C0"/>
    <w:rsid w:val="676A40B3"/>
    <w:rsid w:val="67993212"/>
    <w:rsid w:val="67A965C8"/>
    <w:rsid w:val="67B459C1"/>
    <w:rsid w:val="683D167D"/>
    <w:rsid w:val="68BB6E64"/>
    <w:rsid w:val="68C33DA9"/>
    <w:rsid w:val="68CB47DE"/>
    <w:rsid w:val="691368F2"/>
    <w:rsid w:val="696D62E0"/>
    <w:rsid w:val="69E37F8A"/>
    <w:rsid w:val="6A282BBE"/>
    <w:rsid w:val="6AAD46D2"/>
    <w:rsid w:val="6AC622E1"/>
    <w:rsid w:val="6B495796"/>
    <w:rsid w:val="6B7F6CDF"/>
    <w:rsid w:val="6B9A1DFE"/>
    <w:rsid w:val="6BBC7F29"/>
    <w:rsid w:val="6BBF063B"/>
    <w:rsid w:val="6BCB641C"/>
    <w:rsid w:val="6BED5DF3"/>
    <w:rsid w:val="6C1E5D27"/>
    <w:rsid w:val="6C4C768B"/>
    <w:rsid w:val="6CE27501"/>
    <w:rsid w:val="6D277BCD"/>
    <w:rsid w:val="6D3779A6"/>
    <w:rsid w:val="6D8503CE"/>
    <w:rsid w:val="6DC8786F"/>
    <w:rsid w:val="6DE328D8"/>
    <w:rsid w:val="6E322EB2"/>
    <w:rsid w:val="6E361EA1"/>
    <w:rsid w:val="6E365B50"/>
    <w:rsid w:val="6E643AB4"/>
    <w:rsid w:val="6EAD53FC"/>
    <w:rsid w:val="6EB524BB"/>
    <w:rsid w:val="6ECF2E60"/>
    <w:rsid w:val="6F18044A"/>
    <w:rsid w:val="6F253371"/>
    <w:rsid w:val="6F493024"/>
    <w:rsid w:val="6F5535E5"/>
    <w:rsid w:val="6F7A2C81"/>
    <w:rsid w:val="6F7E3958"/>
    <w:rsid w:val="6FBD6F92"/>
    <w:rsid w:val="6FF40710"/>
    <w:rsid w:val="6FFC34E0"/>
    <w:rsid w:val="700B24AF"/>
    <w:rsid w:val="700C744A"/>
    <w:rsid w:val="70277C83"/>
    <w:rsid w:val="70334A57"/>
    <w:rsid w:val="70651092"/>
    <w:rsid w:val="708A1B58"/>
    <w:rsid w:val="70FA13DB"/>
    <w:rsid w:val="71162338"/>
    <w:rsid w:val="711733E9"/>
    <w:rsid w:val="712E6A58"/>
    <w:rsid w:val="71582C5C"/>
    <w:rsid w:val="71A9184B"/>
    <w:rsid w:val="71AD2A02"/>
    <w:rsid w:val="72497424"/>
    <w:rsid w:val="727461E0"/>
    <w:rsid w:val="72A34C18"/>
    <w:rsid w:val="730A2A5B"/>
    <w:rsid w:val="74175983"/>
    <w:rsid w:val="74270529"/>
    <w:rsid w:val="7471367B"/>
    <w:rsid w:val="74992165"/>
    <w:rsid w:val="757C10DA"/>
    <w:rsid w:val="759A6C8C"/>
    <w:rsid w:val="759D2574"/>
    <w:rsid w:val="75DA5A74"/>
    <w:rsid w:val="75E35B61"/>
    <w:rsid w:val="76001EAC"/>
    <w:rsid w:val="760205C6"/>
    <w:rsid w:val="762E14C6"/>
    <w:rsid w:val="76301CB8"/>
    <w:rsid w:val="76337E79"/>
    <w:rsid w:val="768956BF"/>
    <w:rsid w:val="76A70E90"/>
    <w:rsid w:val="76C2766E"/>
    <w:rsid w:val="77203768"/>
    <w:rsid w:val="77B461D6"/>
    <w:rsid w:val="785A1719"/>
    <w:rsid w:val="785E0561"/>
    <w:rsid w:val="78831055"/>
    <w:rsid w:val="78A66C40"/>
    <w:rsid w:val="79151D45"/>
    <w:rsid w:val="79577D74"/>
    <w:rsid w:val="79BA1933"/>
    <w:rsid w:val="7A004C20"/>
    <w:rsid w:val="7A186FB3"/>
    <w:rsid w:val="7A234B59"/>
    <w:rsid w:val="7A5E439F"/>
    <w:rsid w:val="7A805246"/>
    <w:rsid w:val="7A9167AD"/>
    <w:rsid w:val="7AC4146F"/>
    <w:rsid w:val="7B9A6432"/>
    <w:rsid w:val="7BF35895"/>
    <w:rsid w:val="7C531DBC"/>
    <w:rsid w:val="7C8A5DAD"/>
    <w:rsid w:val="7CA831D8"/>
    <w:rsid w:val="7CFF3C32"/>
    <w:rsid w:val="7D172F30"/>
    <w:rsid w:val="7D2C1B97"/>
    <w:rsid w:val="7D505860"/>
    <w:rsid w:val="7D5B7EC1"/>
    <w:rsid w:val="7DCA1438"/>
    <w:rsid w:val="7E485964"/>
    <w:rsid w:val="7EF84129"/>
    <w:rsid w:val="7F592753"/>
    <w:rsid w:val="7F6D2887"/>
    <w:rsid w:val="7F7419EF"/>
    <w:rsid w:val="7FBB5D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3">
    <w:name w:val="heading 3"/>
    <w:basedOn w:val="1"/>
    <w:next w:val="1"/>
    <w:qFormat/>
    <w:uiPriority w:val="99"/>
    <w:pPr>
      <w:keepNext/>
      <w:widowControl/>
      <w:spacing w:after="0" w:afterLines="0"/>
      <w:ind w:firstLine="0" w:firstLineChars="0"/>
      <w:jc w:val="left"/>
      <w:outlineLvl w:val="2"/>
    </w:pPr>
    <w:rPr>
      <w:b/>
      <w:bCs/>
      <w:kern w:val="0"/>
      <w:szCs w:val="26"/>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afterLines="0" w:afterAutospacing="0"/>
    </w:pPr>
  </w:style>
  <w:style w:type="paragraph" w:styleId="5">
    <w:name w:val="Body Text First Indent"/>
    <w:basedOn w:val="4"/>
    <w:qFormat/>
    <w:uiPriority w:val="0"/>
    <w:pPr>
      <w:ind w:firstLine="420" w:firstLineChars="100"/>
    </w:pPr>
  </w:style>
  <w:style w:type="paragraph" w:styleId="6">
    <w:name w:val="Plain Text"/>
    <w:basedOn w:val="1"/>
    <w:unhideWhenUsed/>
    <w:qFormat/>
    <w:uiPriority w:val="0"/>
    <w:rPr>
      <w:rFonts w:ascii="宋体" w:hAnsi="Courier New" w:cs="Courier New"/>
      <w:szCs w:val="21"/>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bCs/>
    </w:rPr>
  </w:style>
  <w:style w:type="character" w:styleId="13">
    <w:name w:val="FollowedHyperlink"/>
    <w:basedOn w:val="11"/>
    <w:qFormat/>
    <w:uiPriority w:val="0"/>
    <w:rPr>
      <w:color w:val="800080"/>
      <w:u w:val="none"/>
    </w:rPr>
  </w:style>
  <w:style w:type="character" w:styleId="14">
    <w:name w:val="Emphasis"/>
    <w:basedOn w:val="11"/>
    <w:qFormat/>
    <w:uiPriority w:val="0"/>
    <w:rPr>
      <w:i/>
    </w:rPr>
  </w:style>
  <w:style w:type="character" w:styleId="15">
    <w:name w:val="Hyperlink"/>
    <w:basedOn w:val="11"/>
    <w:qFormat/>
    <w:uiPriority w:val="0"/>
    <w:rPr>
      <w:color w:val="0000FF"/>
      <w:u w:val="single"/>
    </w:rPr>
  </w:style>
  <w:style w:type="character" w:customStyle="1" w:styleId="16">
    <w:name w:val="页眉 Char"/>
    <w:basedOn w:val="11"/>
    <w:link w:val="8"/>
    <w:qFormat/>
    <w:uiPriority w:val="0"/>
    <w:rPr>
      <w:kern w:val="2"/>
      <w:sz w:val="18"/>
      <w:szCs w:val="18"/>
    </w:rPr>
  </w:style>
  <w:style w:type="character" w:customStyle="1" w:styleId="17">
    <w:name w:val="页脚 Char"/>
    <w:basedOn w:val="11"/>
    <w:link w:val="7"/>
    <w:qFormat/>
    <w:uiPriority w:val="0"/>
    <w:rPr>
      <w:kern w:val="2"/>
      <w:sz w:val="18"/>
      <w:szCs w:val="18"/>
    </w:rPr>
  </w:style>
  <w:style w:type="paragraph" w:customStyle="1" w:styleId="18">
    <w:name w:val="p0"/>
    <w:basedOn w:val="1"/>
    <w:qFormat/>
    <w:uiPriority w:val="0"/>
    <w:pPr>
      <w:widowControl/>
    </w:pPr>
    <w:rPr>
      <w:rFonts w:ascii="Calibri" w:hAnsi="Calibri" w:eastAsia="宋体" w:cs="宋体"/>
      <w:kern w:val="0"/>
      <w:szCs w:val="21"/>
    </w:rPr>
  </w:style>
  <w:style w:type="paragraph" w:customStyle="1" w:styleId="19">
    <w:name w:val="闻政正文"/>
    <w:basedOn w:val="1"/>
    <w:link w:val="24"/>
    <w:qFormat/>
    <w:uiPriority w:val="0"/>
    <w:pPr>
      <w:spacing w:line="500" w:lineRule="exact"/>
      <w:ind w:firstLine="560"/>
    </w:pPr>
    <w:rPr>
      <w:rFonts w:hint="default" w:ascii="Times New Roman" w:hAnsi="Times New Roman" w:eastAsia="仿宋_GB2312" w:cstheme="minorBidi"/>
      <w:szCs w:val="28"/>
    </w:rPr>
  </w:style>
  <w:style w:type="paragraph" w:customStyle="1" w:styleId="20">
    <w:name w:val="绩效评价"/>
    <w:basedOn w:val="2"/>
    <w:qFormat/>
    <w:uiPriority w:val="0"/>
    <w:pPr>
      <w:spacing w:before="60" w:after="60" w:line="360" w:lineRule="auto"/>
      <w:ind w:firstLine="0" w:firstLineChars="0"/>
      <w:jc w:val="left"/>
    </w:pPr>
    <w:rPr>
      <w:rFonts w:hint="default" w:ascii="黑体" w:hAnsi="黑体" w:eastAsia="黑体" w:cstheme="minorBidi"/>
      <w:b w:val="0"/>
      <w:sz w:val="28"/>
      <w:szCs w:val="32"/>
    </w:rPr>
  </w:style>
  <w:style w:type="paragraph" w:customStyle="1" w:styleId="21">
    <w:name w:val="闻政标题5"/>
    <w:basedOn w:val="1"/>
    <w:qFormat/>
    <w:uiPriority w:val="0"/>
    <w:pPr>
      <w:spacing w:before="120" w:after="60" w:line="500" w:lineRule="exact"/>
    </w:pPr>
    <w:rPr>
      <w:rFonts w:hint="default" w:ascii="Times New Roman" w:hAnsi="Times New Roman" w:eastAsia="仿宋_GB2312" w:cstheme="minorBidi"/>
      <w:b/>
      <w:szCs w:val="28"/>
    </w:rPr>
  </w:style>
  <w:style w:type="character" w:customStyle="1" w:styleId="22">
    <w:name w:val="hover17"/>
    <w:basedOn w:val="11"/>
    <w:qFormat/>
    <w:uiPriority w:val="0"/>
    <w:rPr>
      <w:color w:val="557EE7"/>
    </w:rPr>
  </w:style>
  <w:style w:type="paragraph" w:customStyle="1" w:styleId="23">
    <w:name w:val="闻政-正文段落文字"/>
    <w:basedOn w:val="1"/>
    <w:qFormat/>
    <w:uiPriority w:val="0"/>
    <w:pPr>
      <w:spacing w:line="500" w:lineRule="exact"/>
      <w:ind w:firstLine="200" w:firstLineChars="200"/>
    </w:pPr>
    <w:rPr>
      <w:rFonts w:ascii="Times New Roman" w:hAnsi="Times New Roman" w:eastAsia="仿宋_GB2312"/>
      <w:kern w:val="0"/>
      <w:sz w:val="28"/>
      <w:szCs w:val="28"/>
    </w:rPr>
  </w:style>
  <w:style w:type="character" w:customStyle="1" w:styleId="24">
    <w:name w:val="闻政正文 Char"/>
    <w:link w:val="19"/>
    <w:qFormat/>
    <w:uiPriority w:val="99"/>
    <w:rPr>
      <w:rFonts w:hint="default" w:ascii="Times New Roman" w:hAnsi="Times New Roman" w:eastAsia="仿宋_GB2312" w:cstheme="minorBidi"/>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153</Words>
  <Characters>874</Characters>
  <Lines>7</Lines>
  <Paragraphs>2</Paragraphs>
  <TotalTime>0</TotalTime>
  <ScaleCrop>false</ScaleCrop>
  <LinksUpToDate>false</LinksUpToDate>
  <CharactersWithSpaces>1025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2019-03-25T03:50:00Z</dcterms:created>
  <dc:creator>Administrator</dc:creator>
  <cp:lastModifiedBy>木棉花</cp:lastModifiedBy>
  <dcterms:modified xsi:type="dcterms:W3CDTF">2020-05-19T15:14:57Z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