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pStyle w:val="2"/>
        <w:rPr>
          <w:rFonts w:hint="eastAsia" w:ascii="仿宋" w:hAnsi="仿宋" w:eastAsia="仿宋" w:cs="仿宋"/>
          <w:b/>
          <w:bCs/>
          <w:color w:val="auto"/>
          <w:sz w:val="32"/>
          <w:szCs w:val="32"/>
          <w:lang w:val="en-US" w:eastAsia="zh-CN"/>
        </w:rPr>
      </w:pPr>
    </w:p>
    <w:p>
      <w:pPr>
        <w:rPr>
          <w:rFonts w:hint="eastAsia" w:ascii="仿宋" w:hAnsi="仿宋" w:eastAsia="仿宋" w:cs="仿宋"/>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color w:val="auto"/>
          <w:sz w:val="52"/>
          <w:szCs w:val="52"/>
        </w:rPr>
      </w:pPr>
      <w:r>
        <w:rPr>
          <w:rFonts w:hint="eastAsia" w:ascii="仿宋" w:hAnsi="仿宋" w:eastAsia="仿宋" w:cs="仿宋"/>
          <w:b/>
          <w:bCs/>
          <w:color w:val="auto"/>
          <w:sz w:val="52"/>
          <w:szCs w:val="52"/>
        </w:rPr>
        <w:t>自治区财政支出事前绩效评估报告</w:t>
      </w:r>
    </w:p>
    <w:p>
      <w:pPr>
        <w:widowControl/>
        <w:jc w:val="center"/>
        <w:rPr>
          <w:rFonts w:hint="eastAsia" w:ascii="仿宋" w:hAnsi="仿宋" w:eastAsia="仿宋" w:cs="仿宋"/>
          <w:color w:val="auto"/>
          <w:kern w:val="0"/>
          <w:sz w:val="44"/>
          <w:szCs w:val="44"/>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widowControl/>
        <w:rPr>
          <w:rFonts w:hint="eastAsia" w:ascii="仿宋" w:hAnsi="仿宋" w:eastAsia="仿宋" w:cs="仿宋"/>
          <w:b/>
          <w:bCs/>
          <w:color w:val="auto"/>
          <w:kern w:val="0"/>
          <w:sz w:val="32"/>
          <w:szCs w:val="32"/>
        </w:rPr>
      </w:pPr>
    </w:p>
    <w:p>
      <w:pPr>
        <w:ind w:left="2564" w:leftChars="456" w:hanging="1606" w:hangingChars="500"/>
        <w:rPr>
          <w:rFonts w:hint="eastAsia" w:ascii="仿宋" w:hAnsi="仿宋" w:eastAsia="仿宋" w:cs="仿宋"/>
          <w:b/>
          <w:bCs/>
          <w:color w:val="auto"/>
          <w:kern w:val="2"/>
          <w:sz w:val="32"/>
          <w:szCs w:val="32"/>
          <w:lang w:val="en-US" w:eastAsia="zh-CN"/>
        </w:rPr>
      </w:pPr>
      <w:r>
        <w:rPr>
          <w:rFonts w:hint="eastAsia"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：教学督导专项检查经费项目</w:t>
      </w:r>
    </w:p>
    <w:p>
      <w:pPr>
        <w:pStyle w:val="18"/>
        <w:ind w:firstLine="964" w:firstLineChars="300"/>
        <w:jc w:val="left"/>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民丰县教育和科学技术局</w:t>
      </w: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  根据中共中央、国务院《关于全面实施预算绩效管理的意见》（中发〔2018〕34号文）、自治区党委、自治区人民政府《关于全面实施预算绩效管理的实施意见》（新党发〔2018〕30号文）及《自治区财政支出事前绩效评估管理暂行办法》（新财预〔2019〕36号）文件要求，</w:t>
      </w:r>
      <w:r>
        <w:rPr>
          <w:rFonts w:hint="eastAsia" w:ascii="仿宋" w:hAnsi="仿宋" w:eastAsia="仿宋" w:cs="仿宋"/>
          <w:color w:val="auto"/>
          <w:sz w:val="32"/>
          <w:szCs w:val="32"/>
        </w:rPr>
        <w:t>秉承科学规范、公平公正、绩效相关的原则，</w:t>
      </w:r>
      <w:r>
        <w:rPr>
          <w:rFonts w:hint="eastAsia" w:ascii="仿宋" w:hAnsi="仿宋" w:eastAsia="仿宋" w:cs="仿宋"/>
          <w:color w:val="auto"/>
          <w:kern w:val="2"/>
          <w:sz w:val="32"/>
          <w:szCs w:val="32"/>
          <w:lang w:val="en-US" w:eastAsia="zh-CN" w:bidi="ar-SA"/>
        </w:rPr>
        <w:t>对我单位</w:t>
      </w:r>
      <w:r>
        <w:rPr>
          <w:rFonts w:hint="default" w:ascii="仿宋" w:hAnsi="仿宋" w:eastAsia="仿宋" w:cs="仿宋"/>
          <w:color w:val="auto"/>
          <w:kern w:val="2"/>
          <w:sz w:val="32"/>
          <w:szCs w:val="32"/>
          <w:lang w:val="en-US" w:eastAsia="zh-CN" w:bidi="ar-SA"/>
        </w:rPr>
        <w:t>2020</w:t>
      </w:r>
      <w:r>
        <w:rPr>
          <w:rFonts w:hint="eastAsia" w:ascii="仿宋" w:hAnsi="仿宋" w:eastAsia="仿宋" w:cs="仿宋"/>
          <w:color w:val="auto"/>
          <w:kern w:val="2"/>
          <w:sz w:val="32"/>
          <w:szCs w:val="32"/>
          <w:lang w:val="en-US" w:eastAsia="zh-CN" w:bidi="ar-SA"/>
        </w:rPr>
        <w:t xml:space="preserve">年教学督导专项检查经费项目进行事前绩效评估，具体评估情况如下： </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一、评估对象概况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以习近平新时代中国特色社会主义思想为指导，深入贯彻党的十九大精神，全面落实全国教育大会精神，树牢“四个意识”，坚定“四个自信”，做到“两个维护”，围绕中心，服务大局，坚持改革创新，推动建设具有中国特色、世界水平的教育科学理论体系，不断提升教育科研质量和服务水平，为加快推进教育现代化、建设教育强国、办好人民满意的教育提供有力的智力支持和知识贡献。</w:t>
      </w:r>
    </w:p>
    <w:p>
      <w:pPr>
        <w:numPr>
          <w:ilvl w:val="0"/>
          <w:numId w:val="0"/>
        </w:num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坚持正确方向。坚持党对教育工作的全面领导，坚持马克思主义指导地位，坚持以人民为中心，牢牢把握意识形态的领导权和主导权。</w:t>
      </w:r>
    </w:p>
    <w:p>
      <w:pPr>
        <w:numPr>
          <w:ilvl w:val="0"/>
          <w:numId w:val="0"/>
        </w:num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服务实践需求。立足中国大地，面向基层一线，坚持问题导向，突出教育的实践性，以重大教育战略问题和教育教学实践问题为主攻方向，支撑引领教育改革发展。</w:t>
      </w:r>
    </w:p>
    <w:p>
      <w:pPr>
        <w:numPr>
          <w:ilvl w:val="0"/>
          <w:numId w:val="0"/>
        </w:num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激发创新活力。深化教学督导组织形式和运行机制改革，完善教育教研、督导考核，充分调动教育工作者的积极性、主动性、创造性。</w:t>
      </w:r>
    </w:p>
    <w:p>
      <w:pPr>
        <w:numPr>
          <w:ilvl w:val="0"/>
          <w:numId w:val="0"/>
        </w:numPr>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弘扬优良学风。坚持实事求是、理论联系实际，发扬科学家精神，推动形成求真务实、守正创新、严谨治学、担当作为的优良学风，营造风清气正、民主和谐、互学互鉴、积极向上的学术生态。据此依据，特设立此项目。</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把马克思主义基本理论作为思想武器，把深入学习贯彻习近平新时代中国特色社会主义思想作为首要政治任务，系统开展习近平总书记关于教育的重要论述、党的教育方针以及中国共产党领导教育工作的基本经验等研究。聚焦立德树人根本任务的重大理论和实践问题，深化教育基本理论研究，弘扬中国优秀教育文化传统，探究中国特色社会主义教育道路、理论、制度发展的历史根脉、丰富内涵和精神实质，筑牢社会主义教育强国建设的理论基石，构建中国特色教育科学学科体系、学术体系、话语体系、教材体系，增强中国教育自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以督导检查为契机，做好自查，摸清底子，准确定位，持续加大教育经费投入，全面改善办学条件，提升教育教学水平和质量，持续办好人民满意教育。以此为背景，我单位教学督导专项检查经费项目的实施十分必要。</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教学督导专项检查经费项目</w:t>
      </w:r>
      <w:r>
        <w:rPr>
          <w:rFonts w:hint="eastAsia" w:ascii="仿宋" w:hAnsi="仿宋" w:eastAsia="仿宋" w:cs="仿宋"/>
          <w:b w:val="0"/>
          <w:bCs w:val="0"/>
          <w:color w:val="auto"/>
          <w:sz w:val="32"/>
          <w:szCs w:val="32"/>
        </w:rPr>
        <w:t>涉</w:t>
      </w:r>
      <w:r>
        <w:rPr>
          <w:rFonts w:hint="eastAsia" w:ascii="仿宋" w:hAnsi="仿宋" w:eastAsia="仿宋" w:cs="仿宋"/>
          <w:color w:val="auto"/>
          <w:sz w:val="32"/>
          <w:szCs w:val="32"/>
        </w:rPr>
        <w:t>及的相关主体为</w:t>
      </w:r>
      <w:r>
        <w:rPr>
          <w:rFonts w:hint="eastAsia" w:ascii="仿宋" w:hAnsi="仿宋" w:eastAsia="仿宋" w:cs="仿宋"/>
          <w:color w:val="auto"/>
          <w:sz w:val="32"/>
          <w:szCs w:val="32"/>
          <w:lang w:val="en-US" w:eastAsia="zh-CN"/>
        </w:rPr>
        <w:t>民丰县教育和科学技术局，</w:t>
      </w:r>
      <w:r>
        <w:rPr>
          <w:rFonts w:hint="eastAsia" w:ascii="仿宋" w:hAnsi="仿宋" w:eastAsia="仿宋" w:cs="仿宋"/>
          <w:b w:val="0"/>
          <w:bCs w:val="0"/>
          <w:color w:val="auto"/>
          <w:kern w:val="2"/>
          <w:sz w:val="32"/>
          <w:szCs w:val="32"/>
          <w:lang w:val="en-US" w:eastAsia="zh-CN"/>
        </w:rPr>
        <w:t>民丰</w:t>
      </w:r>
      <w:r>
        <w:rPr>
          <w:rFonts w:hint="eastAsia" w:ascii="仿宋" w:hAnsi="仿宋" w:eastAsia="仿宋" w:cs="仿宋"/>
          <w:color w:val="auto"/>
          <w:sz w:val="32"/>
          <w:szCs w:val="32"/>
          <w:lang w:val="en-US" w:eastAsia="zh-CN"/>
        </w:rPr>
        <w:t>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民丰县教育和科学技术局</w:t>
      </w:r>
      <w:r>
        <w:rPr>
          <w:rFonts w:hint="eastAsia" w:ascii="仿宋" w:hAnsi="仿宋" w:eastAsia="仿宋" w:cs="仿宋"/>
          <w:color w:val="auto"/>
          <w:sz w:val="32"/>
          <w:szCs w:val="32"/>
        </w:rPr>
        <w:t>负责</w:t>
      </w:r>
      <w:r>
        <w:rPr>
          <w:rFonts w:hint="eastAsia" w:ascii="仿宋" w:hAnsi="仿宋" w:eastAsia="仿宋" w:cs="仿宋"/>
          <w:b w:val="0"/>
          <w:bCs w:val="0"/>
          <w:color w:val="auto"/>
          <w:kern w:val="2"/>
          <w:sz w:val="32"/>
          <w:szCs w:val="32"/>
          <w:lang w:val="en-US" w:eastAsia="zh-CN"/>
        </w:rPr>
        <w:t>项目的</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县财政局负责拨付项目使用资金，并加强对</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资金使用的监督和管理。财政和项目实施单位严格实行“三专”管理，即设专户、建专帐、定专人。同时，资金拨付除坚持按项目计划、进度和质量分阶段验收拨款外，还坚持部门联审制，项目单位先做事、后报帐，从而确保了专项资金专款专用，有效地防止了截留、挤占和</w:t>
      </w:r>
      <w:r>
        <w:rPr>
          <w:rFonts w:hint="eastAsia" w:ascii="仿宋" w:hAnsi="仿宋" w:eastAsia="仿宋" w:cs="仿宋"/>
          <w:color w:val="auto"/>
          <w:sz w:val="32"/>
          <w:szCs w:val="32"/>
          <w:lang w:eastAsia="zh-CN"/>
        </w:rPr>
        <w:t>挪</w:t>
      </w:r>
      <w:r>
        <w:rPr>
          <w:rFonts w:hint="eastAsia" w:ascii="仿宋" w:hAnsi="仿宋" w:eastAsia="仿宋" w:cs="仿宋"/>
          <w:color w:val="auto"/>
          <w:sz w:val="32"/>
          <w:szCs w:val="32"/>
        </w:rPr>
        <w:t>用。</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教学督导专项检查经费项目</w:t>
      </w:r>
      <w:r>
        <w:rPr>
          <w:rFonts w:hint="eastAsia" w:ascii="仿宋" w:hAnsi="仿宋" w:eastAsia="仿宋" w:cs="仿宋"/>
          <w:color w:val="auto"/>
          <w:sz w:val="32"/>
          <w:szCs w:val="32"/>
          <w:lang w:val="en-US" w:eastAsia="zh-CN"/>
        </w:rPr>
        <w:t>预算资金1.66万元，主要用于：定期不定期下基层督导学校的各项工作，促进标准化建设及均衡发展工作。计划开展专项督导的次数≥8次，开展专项督导检查的学校数量41所，校抽检率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100%，形成专项督导检查报告份数</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≥8份，督导学校的学生数</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≥8305名，督导检查工作覆盖率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≥98%</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，问题整改率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≥98%</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val="en-US" w:eastAsia="zh-CN"/>
        </w:rPr>
        <w:tab/>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教学督导专项检查经费</w:t>
      </w:r>
      <w:r>
        <w:rPr>
          <w:rFonts w:hint="eastAsia" w:ascii="仿宋" w:hAnsi="仿宋" w:eastAsia="仿宋" w:cs="仿宋"/>
          <w:color w:val="auto"/>
          <w:sz w:val="32"/>
          <w:szCs w:val="32"/>
          <w:lang w:val="en-US" w:eastAsia="zh-CN"/>
        </w:rPr>
        <w:t>项目预算资金1.66万元。</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r>
        <w:rPr>
          <w:rFonts w:hint="eastAsia" w:ascii="仿宋" w:hAnsi="仿宋" w:eastAsia="仿宋" w:cs="仿宋"/>
          <w:color w:val="auto"/>
          <w:sz w:val="32"/>
          <w:szCs w:val="32"/>
          <w:lang w:eastAsia="zh-CN"/>
        </w:rPr>
        <w:t>评估工作组以入户通知书的形式通知项目单位，并明确评估的依据、内容、目的、任务、时间、要求等事项。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评估工作组</w:t>
      </w: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民丰县教育和科学技术局</w:t>
      </w:r>
      <w:r>
        <w:rPr>
          <w:rFonts w:hint="eastAsia" w:ascii="仿宋" w:hAnsi="仿宋" w:eastAsia="仿宋" w:cs="仿宋"/>
          <w:color w:val="auto"/>
          <w:sz w:val="32"/>
          <w:szCs w:val="32"/>
        </w:rPr>
        <w:t>工作计划，拟定</w:t>
      </w:r>
      <w:r>
        <w:rPr>
          <w:rFonts w:hint="eastAsia" w:ascii="仿宋" w:hAnsi="仿宋" w:eastAsia="仿宋" w:cs="仿宋"/>
          <w:color w:val="auto"/>
          <w:sz w:val="32"/>
          <w:szCs w:val="32"/>
          <w:lang w:eastAsia="zh-CN"/>
        </w:rPr>
        <w:t>《事前绩效评估工作方案》</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包括评估对象、内容、方法、专家、时间安排等。</w:t>
      </w:r>
      <w:r>
        <w:rPr>
          <w:rFonts w:hint="eastAsia" w:ascii="仿宋" w:hAnsi="仿宋" w:eastAsia="仿宋" w:cs="仿宋"/>
          <w:color w:val="auto"/>
          <w:sz w:val="32"/>
          <w:szCs w:val="32"/>
        </w:rPr>
        <w:t>依据</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w:t>
      </w:r>
      <w:r>
        <w:rPr>
          <w:rFonts w:hint="eastAsia" w:ascii="仿宋" w:hAnsi="仿宋" w:eastAsia="仿宋" w:cs="仿宋"/>
          <w:color w:val="auto"/>
          <w:sz w:val="32"/>
          <w:szCs w:val="32"/>
          <w:lang w:eastAsia="zh-CN"/>
        </w:rPr>
        <w:t>项目计划</w:t>
      </w:r>
      <w:r>
        <w:rPr>
          <w:rFonts w:hint="eastAsia" w:ascii="仿宋" w:hAnsi="仿宋" w:eastAsia="仿宋" w:cs="仿宋"/>
          <w:color w:val="auto"/>
          <w:sz w:val="32"/>
          <w:szCs w:val="32"/>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w:t>
      </w:r>
      <w:r>
        <w:rPr>
          <w:rFonts w:hint="eastAsia" w:ascii="仿宋" w:hAnsi="仿宋" w:eastAsia="仿宋" w:cs="仿宋"/>
          <w:color w:val="auto"/>
          <w:sz w:val="32"/>
          <w:szCs w:val="32"/>
          <w:lang w:eastAsia="zh-CN"/>
        </w:rPr>
        <w:t>评估工作组遴选相关人大代表、政协委员、管理专家、财政财务专家和业务专家，组成评估专家组，并适时开展业务培训。</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县本</w:t>
      </w:r>
      <w:r>
        <w:rPr>
          <w:rFonts w:hint="eastAsia" w:ascii="仿宋" w:hAnsi="仿宋" w:eastAsia="仿宋" w:cs="仿宋"/>
          <w:color w:val="auto"/>
          <w:sz w:val="32"/>
          <w:szCs w:val="32"/>
        </w:rPr>
        <w:t>项目负责人确定现场调研时间，明确工作内容，包括：需要准备的资料清单、项目方案、时间计划安排等。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6.组织实施评估。绩效考评组会同人大代表、政协委员和评估专家共同召开评估会议，了解项目基本情况，听取项目单位和设计单位的情况介绍，进行现场评议。</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(1)采取多种方式，多方获取信息。通过咨询专家、查阅资料、问卷调查、电话采访、集中座谈等方式，全面了解并收集项目信息。</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(2)专家出具个人意见，评估工作组形成专家组初步意见。召开专家评估会，项目单位汇报项目计划内容和实施方案情况，由评估工作组组织专家进行充分论证，出具专家个人意见，填写《项目支出事前绩效评估专家评估意见》。评估工作组结合专家意见，综合调查分析结果，形成专家组初步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(3)确认专家组意见，得出评估结论。评估工作组将专家组初步意见分别报送每一位专家征求意见，评估工作组综合专家意见，修改完善专家组意见，得出最终评估结论，填写《项目支出事前绩效评估专家组汇总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7.汇报绩效评估结论。完成最终评价报告，提出评估结论意见。</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本次事前绩效评估主要针对项目的相关性、项目绩效的可实现性、项目实施方案的有效性、项目预期绩效的可持续性、财政资金投入的可行性及风险等五方面进行综合评估、分析与论证，并提出相关建议。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w:t>
      </w:r>
      <w:r>
        <w:rPr>
          <w:rFonts w:hint="eastAsia" w:ascii="仿宋" w:hAnsi="仿宋" w:eastAsia="仿宋" w:cs="仿宋"/>
          <w:color w:val="auto"/>
          <w:sz w:val="32"/>
          <w:szCs w:val="32"/>
          <w:lang w:eastAsia="zh-CN"/>
        </w:rPr>
        <w:t>事前</w:t>
      </w:r>
      <w:r>
        <w:rPr>
          <w:rFonts w:hint="eastAsia" w:ascii="仿宋" w:hAnsi="仿宋" w:eastAsia="仿宋" w:cs="仿宋"/>
          <w:color w:val="auto"/>
          <w:sz w:val="32"/>
          <w:szCs w:val="32"/>
        </w:rPr>
        <w:t>绩效评估</w:t>
      </w:r>
      <w:r>
        <w:rPr>
          <w:rFonts w:hint="eastAsia" w:ascii="仿宋" w:hAnsi="仿宋" w:eastAsia="仿宋" w:cs="仿宋"/>
          <w:color w:val="auto"/>
          <w:sz w:val="32"/>
          <w:szCs w:val="32"/>
          <w:lang w:eastAsia="zh-CN"/>
        </w:rPr>
        <w:t>遵循全面考虑、重点突出的原则，主要采用专家咨询的方式，同时辅之以资料分析、集中座谈、网络查询、电话采访、抽样调查等评估方式或手段，对项目的相关性、可行性、持续性等方面进行全面评估。</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r>
        <w:rPr>
          <w:rFonts w:hint="eastAsia" w:ascii="仿宋" w:hAnsi="仿宋" w:eastAsia="仿宋" w:cs="仿宋"/>
          <w:color w:val="auto"/>
          <w:sz w:val="32"/>
          <w:szCs w:val="32"/>
          <w:lang w:eastAsia="zh-CN"/>
        </w:rPr>
        <w:t>。</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事前绩效评估主要采用成本效益分析、比较分析、因素分析、最低成本分析、历史分析等方法进行论证。本次绩效采用“</w:t>
      </w:r>
      <w:r>
        <w:rPr>
          <w:rFonts w:hint="eastAsia" w:ascii="仿宋" w:hAnsi="仿宋" w:eastAsia="仿宋" w:cs="仿宋"/>
          <w:color w:val="auto"/>
          <w:sz w:val="32"/>
          <w:szCs w:val="32"/>
          <w:shd w:val="clear" w:color="auto" w:fill="FFFFFF"/>
        </w:rPr>
        <w:t>公众评判法”进行评估。</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shd w:val="clear" w:color="auto" w:fill="FFFFFF"/>
          <w:lang w:val="en-US" w:eastAsia="zh-CN"/>
        </w:rPr>
        <w:t>民丰县教育和科学技术局项目评估小组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部门会议决定，进行现场踏勘及问卷调查，实地了解情况，对项目可行性提供事实依据。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成员记录选取</w:t>
      </w:r>
      <w:r>
        <w:rPr>
          <w:rFonts w:hint="eastAsia" w:ascii="仿宋" w:hAnsi="仿宋" w:eastAsia="仿宋" w:cs="仿宋"/>
          <w:color w:val="auto"/>
          <w:sz w:val="32"/>
          <w:szCs w:val="32"/>
          <w:shd w:val="clear" w:color="auto" w:fill="FFFFFF"/>
          <w:lang w:val="en-US" w:eastAsia="zh-CN"/>
        </w:rPr>
        <w:t>问卷调查</w:t>
      </w:r>
      <w:r>
        <w:rPr>
          <w:rFonts w:hint="eastAsia" w:ascii="仿宋" w:hAnsi="仿宋" w:eastAsia="仿宋" w:cs="仿宋"/>
          <w:color w:val="auto"/>
          <w:sz w:val="32"/>
          <w:szCs w:val="32"/>
          <w:lang w:val="en-US" w:eastAsia="zh-CN"/>
        </w:rPr>
        <w:t>群众的情况介绍和意见</w:t>
      </w:r>
      <w:r>
        <w:rPr>
          <w:rFonts w:hint="eastAsia" w:ascii="仿宋" w:hAnsi="仿宋" w:eastAsia="仿宋" w:cs="仿宋"/>
          <w:color w:val="auto"/>
          <w:sz w:val="32"/>
          <w:szCs w:val="32"/>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1.组长：龙腾富（民丰县教育和科学技术局党组书记）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2.组员：阿不来提·阿不杜艾尼（民丰县教育和科学技术局副组书记、局长）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3.组员：李增和（民丰县教育和科学技术局副局长）</w:t>
      </w:r>
    </w:p>
    <w:p>
      <w:pPr>
        <w:pStyle w:val="2"/>
        <w:rPr>
          <w:rFonts w:hint="default"/>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b w:val="0"/>
          <w:bCs w:val="0"/>
          <w:color w:val="auto"/>
          <w:sz w:val="32"/>
          <w:szCs w:val="32"/>
          <w:highlight w:val="none"/>
          <w:lang w:val="en-US" w:eastAsia="zh-CN"/>
        </w:rPr>
        <w:t xml:space="preserve">  4.组员：阿曼古丽（民丰县教育和科学技术局出纳）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民丰县教育和科学技术局组成3人评估小组，对该项目情况进行全方位调查和评估，确保评估工作公开、透明，为该项目工作的开展提供经验和依据。</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三、评估内容</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1、项目符合相关政策，与部门职能和规划相关。</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项目符合《中华人民共和国教育法》、</w:t>
      </w:r>
      <w:r>
        <w:rPr>
          <w:rFonts w:hint="eastAsia" w:ascii="仿宋" w:hAnsi="仿宋" w:eastAsia="仿宋" w:cs="仿宋"/>
          <w:color w:val="auto"/>
          <w:kern w:val="2"/>
          <w:sz w:val="32"/>
          <w:szCs w:val="32"/>
          <w:lang w:val="en-US" w:eastAsia="zh-CN" w:bidi="ar-SA"/>
        </w:rPr>
        <w:t>《中共中央 国务院关于深化教育教学改革全面提高义务教育质量的意见》</w:t>
      </w:r>
      <w:r>
        <w:rPr>
          <w:rFonts w:hint="eastAsia" w:ascii="仿宋" w:hAnsi="仿宋" w:eastAsia="仿宋" w:cs="仿宋"/>
          <w:color w:val="auto"/>
          <w:sz w:val="32"/>
          <w:szCs w:val="32"/>
          <w:highlight w:val="none"/>
          <w:lang w:val="en-US" w:eastAsia="zh-CN"/>
        </w:rPr>
        <w:t>文件精神，推进“全面改薄”工程，加强薄弱学校建设力度。进一步优化教育资源配置，大力实施精准扶贫计划，加大对农村、贫困和民族地区的倾斜力度，开展全省教育脱贫攻坚专项督导检查，督促各地将各项教育脱贫政策落实落地。</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highlight w:val="none"/>
          <w:lang w:val="en-US" w:eastAsia="zh-CN"/>
        </w:rPr>
        <w:t>民丰县教育和科学技术局有相关职能：</w:t>
      </w:r>
      <w:r>
        <w:rPr>
          <w:rFonts w:hint="eastAsia" w:ascii="仿宋" w:hAnsi="仿宋" w:eastAsia="仿宋" w:cs="仿宋"/>
          <w:color w:val="auto"/>
          <w:sz w:val="32"/>
          <w:szCs w:val="32"/>
          <w:lang w:val="en-US" w:eastAsia="zh-CN"/>
        </w:rPr>
        <w:t>贯彻执行党和国家、自治区、地区有关教育、科技的方针、政策、法律、法规；贯彻执行并监督实施地区教育、科技、工作的地方性法规和制度。</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项目具有现实需求，且需求迫切。</w:t>
      </w:r>
    </w:p>
    <w:p>
      <w:pPr>
        <w:pStyle w:val="2"/>
        <w:numPr>
          <w:ilvl w:val="0"/>
          <w:numId w:val="0"/>
        </w:numPr>
        <w:ind w:firstLine="640" w:firstLineChars="2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项目的开展，定期不定期下基层督导学校的各项工作，促进标准还建设及均衡发展工作。激发教职工主观能动性，提升教师队伍整体水平。</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1、项目绩效目标基本明确，且有明确的受益群体。</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项目绩效目标明确，基本覆盖了预期的产出及效益情况，受益群体为教师和学生，定位比较准确。</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2、项目绩效指标明确，且将项目绩效目标细化分解。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项目绩效指标明确且将项目绩效目标细化分解为具体的绩效指标：数量指标、质量指标、时效指标、成本指标、社会效益指标、可持续影响指标、服务对象满意度指标。</w:t>
      </w:r>
    </w:p>
    <w:p>
      <w:pPr>
        <w:pStyle w:val="2"/>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3、项目综合效益显著，预期效益可实现性较强</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color w:val="auto"/>
          <w:kern w:val="2"/>
          <w:sz w:val="32"/>
          <w:szCs w:val="32"/>
          <w:highlight w:val="none"/>
          <w:lang w:val="en-US" w:eastAsia="zh-CN" w:bidi="ar-SA"/>
        </w:rPr>
        <w:t>本项目无经济效益和生态效益，有明显的社会效益和可持续影响效益。项目的社会效益为激发教职工主观能动性，提升教师队伍整体水平，丰富学生知识内涵，提升自身素质，保证顺利完成学业，保证教学质量持续健康发展。</w:t>
      </w:r>
    </w:p>
    <w:p>
      <w:pPr>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4、以往年度项目的管理基本到位，且实现了预期目标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bidi="ar-SA"/>
        </w:rPr>
        <w:t>以往年度项目完全达到了预期目标。将项目预期目标和成本预算与主管部门</w:t>
      </w:r>
      <w:r>
        <w:rPr>
          <w:rFonts w:hint="eastAsia" w:ascii="仿宋" w:hAnsi="仿宋" w:eastAsia="仿宋" w:cs="仿宋"/>
          <w:color w:val="auto"/>
          <w:sz w:val="32"/>
          <w:szCs w:val="32"/>
          <w:highlight w:val="none"/>
          <w:lang w:val="en-US" w:eastAsia="zh-CN"/>
        </w:rPr>
        <w:t>历史数据对比、与计划对比、与行业平均水平对比，未存在异常。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3"/>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4"/>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项目内容明确，决策申报程序基本规范。</w:t>
      </w:r>
    </w:p>
    <w:p>
      <w:pPr>
        <w:numPr>
          <w:ilvl w:val="0"/>
          <w:numId w:val="0"/>
        </w:numPr>
        <w:ind w:firstLine="624" w:firstLineChars="200"/>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项目内容明确，主要用于：</w:t>
      </w:r>
      <w:r>
        <w:rPr>
          <w:rFonts w:hint="eastAsia" w:ascii="仿宋" w:hAnsi="仿宋" w:eastAsia="仿宋" w:cs="仿宋"/>
          <w:color w:val="auto"/>
          <w:sz w:val="32"/>
          <w:szCs w:val="32"/>
          <w:lang w:val="en-US" w:eastAsia="zh-CN"/>
        </w:rPr>
        <w:t>开展专项督导的次数≥8次，开展专项督导检查的学校数量41所，校抽检率100%，形成专项督导检查报告份数</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≥8份，督导学校的学生数</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≥8305名，督导检查工作覆盖率≥98%</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，问题整改率≥98%</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w:t>
      </w:r>
      <w:r>
        <w:rPr>
          <w:rStyle w:val="12"/>
          <w:rFonts w:hint="eastAsia" w:ascii="仿宋" w:hAnsi="仿宋" w:eastAsia="仿宋" w:cs="仿宋"/>
          <w:b w:val="0"/>
          <w:color w:val="auto"/>
          <w:spacing w:val="-4"/>
          <w:sz w:val="32"/>
          <w:szCs w:val="32"/>
          <w:lang w:val="en-US" w:eastAsia="zh-CN"/>
        </w:rPr>
        <w:t>且决策申报程序基本规范。</w:t>
      </w:r>
    </w:p>
    <w:p>
      <w:pPr>
        <w:keepNext w:val="0"/>
        <w:keepLines w:val="0"/>
        <w:pageBreakBefore w:val="0"/>
        <w:numPr>
          <w:ilvl w:val="0"/>
          <w:numId w:val="4"/>
        </w:numPr>
        <w:kinsoku/>
        <w:wordWrap/>
        <w:overflowPunct/>
        <w:topLinePunct w:val="0"/>
        <w:autoSpaceDE/>
        <w:autoSpaceDN/>
        <w:bidi w:val="0"/>
        <w:adjustRightInd/>
        <w:snapToGrid/>
        <w:spacing w:line="600" w:lineRule="exact"/>
        <w:ind w:left="0" w:leftChars="0" w:firstLine="624" w:firstLineChars="200"/>
        <w:textAlignment w:val="auto"/>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项目预算编制有文件依据，且与绩效目标与项目内容相匹配。</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项目预算编制主要依据《中华人民共和国预算法》、《关于印发[和田地区财政资金使用跟踪反馈管理暂行办法]的通知》（和地财预[2018]67号）文件，与绩效目标与项目内容相匹配。</w:t>
      </w:r>
    </w:p>
    <w:p>
      <w:pPr>
        <w:numPr>
          <w:ilvl w:val="0"/>
          <w:numId w:val="0"/>
        </w:numPr>
        <w:ind w:firstLine="624" w:firstLineChars="200"/>
        <w:rPr>
          <w:rStyle w:val="12"/>
          <w:rFonts w:hint="eastAsia" w:ascii="仿宋" w:hAnsi="仿宋" w:eastAsia="仿宋" w:cs="仿宋"/>
          <w:b w:val="0"/>
          <w:color w:val="auto"/>
          <w:spacing w:val="-4"/>
          <w:kern w:val="2"/>
          <w:sz w:val="32"/>
          <w:szCs w:val="32"/>
          <w:lang w:val="en-US" w:eastAsia="zh-CN" w:bidi="ar-SA"/>
        </w:rPr>
      </w:pPr>
      <w:r>
        <w:rPr>
          <w:rStyle w:val="12"/>
          <w:rFonts w:hint="eastAsia" w:ascii="仿宋" w:hAnsi="仿宋" w:eastAsia="仿宋" w:cs="仿宋"/>
          <w:b w:val="0"/>
          <w:color w:val="auto"/>
          <w:spacing w:val="-4"/>
          <w:kern w:val="2"/>
          <w:sz w:val="32"/>
          <w:szCs w:val="32"/>
          <w:lang w:val="en-US" w:eastAsia="zh-CN" w:bidi="ar-SA"/>
        </w:rPr>
        <w:t>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pStyle w:val="2"/>
        <w:numPr>
          <w:ilvl w:val="0"/>
          <w:numId w:val="0"/>
        </w:numPr>
        <w:ind w:firstLine="624" w:firstLineChars="200"/>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3、项目单位各项管理制度与措施健全，且基本得到有效执行。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1</w:t>
      </w:r>
      <w:r>
        <w:rPr>
          <w:rStyle w:val="12"/>
          <w:rFonts w:hint="eastAsia" w:ascii="仿宋" w:hAnsi="仿宋" w:eastAsia="仿宋" w:cs="仿宋"/>
          <w:b w:val="0"/>
          <w:color w:val="auto"/>
          <w:sz w:val="32"/>
          <w:szCs w:val="32"/>
          <w:lang w:eastAsia="zh-CN"/>
        </w:rPr>
        <w:t>）资金管理制度方面，</w:t>
      </w: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在项目实施期间，实施单位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rPr>
        <w:t>项目管理制度建设</w:t>
      </w:r>
    </w:p>
    <w:p>
      <w:pPr>
        <w:ind w:firstLine="624" w:firstLineChars="200"/>
        <w:rPr>
          <w:rFonts w:hint="eastAsia" w:ascii="仿宋" w:hAnsi="仿宋" w:eastAsia="仿宋" w:cs="仿宋"/>
          <w:color w:val="auto"/>
          <w:sz w:val="32"/>
          <w:szCs w:val="32"/>
        </w:rPr>
      </w:pPr>
      <w:r>
        <w:rPr>
          <w:rStyle w:val="12"/>
          <w:rFonts w:hint="eastAsia" w:ascii="仿宋" w:hAnsi="仿宋" w:eastAsia="仿宋" w:cs="仿宋"/>
          <w:b w:val="0"/>
          <w:color w:val="auto"/>
          <w:spacing w:val="-4"/>
          <w:sz w:val="32"/>
          <w:szCs w:val="32"/>
          <w:shd w:val="clear" w:color="FFFFFF" w:fill="FFFFFF"/>
        </w:rPr>
        <w:t>为了建立投资责任约束机制，规范项目法人的行为，明确其责、权、利，提高投资效益，依据《关于实行建设项目法人责任制的暂行规定》等相关法律法规规定，该项目实行项目法人制</w:t>
      </w:r>
      <w:r>
        <w:rPr>
          <w:rFonts w:hint="eastAsia" w:ascii="仿宋" w:hAnsi="仿宋" w:eastAsia="仿宋" w:cs="仿宋"/>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项目管理按照业务分工由具体负责人对项目所对应的任务完成情况进行总结，对项目进度进行反馈。涉及资金使用内容，坚持项目重大开支集体讨论制定，并做好会议纪要。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val="en-US" w:eastAsia="zh-CN"/>
        </w:rPr>
        <w:t>4、</w:t>
      </w:r>
      <w:r>
        <w:rPr>
          <w:rStyle w:val="12"/>
          <w:rFonts w:hint="eastAsia" w:ascii="仿宋" w:hAnsi="仿宋" w:eastAsia="仿宋" w:cs="仿宋"/>
          <w:b w:val="0"/>
          <w:color w:val="auto"/>
          <w:sz w:val="32"/>
          <w:szCs w:val="32"/>
        </w:rPr>
        <w:t>日常检查监督管理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为加强项目的有效监管，由承担单位定期组织对项目组织管理与制度执行情况、项目规划设计和预算执行情况、项目建设工程任务完成情况、项目资金使用与管理情况、项目验收</w:t>
      </w:r>
      <w:r>
        <w:rPr>
          <w:rStyle w:val="12"/>
          <w:rFonts w:hint="eastAsia" w:ascii="仿宋" w:hAnsi="仿宋" w:eastAsia="仿宋" w:cs="仿宋"/>
          <w:b w:val="0"/>
          <w:color w:val="auto"/>
          <w:sz w:val="32"/>
          <w:szCs w:val="32"/>
          <w:lang w:eastAsia="zh-CN"/>
        </w:rPr>
        <w:t>等</w:t>
      </w:r>
      <w:r>
        <w:rPr>
          <w:rStyle w:val="12"/>
          <w:rFonts w:hint="eastAsia" w:ascii="仿宋" w:hAnsi="仿宋" w:eastAsia="仿宋" w:cs="仿宋"/>
          <w:b w:val="0"/>
          <w:color w:val="auto"/>
          <w:sz w:val="32"/>
          <w:szCs w:val="32"/>
        </w:rPr>
        <w:t>情况、项目档案资料管理情况等内容开展专项检查或者不定期抽查，开展监督检查措施，主要是内业检查、质量跟踪、开展审计等措施，强化项目的动态监管，确保项目质量。</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总的来说，</w:t>
      </w:r>
      <w:r>
        <w:rPr>
          <w:rFonts w:hint="eastAsia" w:ascii="仿宋" w:hAnsi="仿宋" w:eastAsia="仿宋" w:cs="仿宋"/>
          <w:color w:val="auto"/>
          <w:sz w:val="32"/>
          <w:szCs w:val="32"/>
        </w:rPr>
        <w:t>该项目制定的实施方案目标任务明确，</w:t>
      </w:r>
      <w:r>
        <w:rPr>
          <w:rFonts w:hint="eastAsia" w:ascii="仿宋" w:hAnsi="仿宋" w:eastAsia="仿宋" w:cs="仿宋"/>
          <w:color w:val="auto"/>
          <w:sz w:val="32"/>
          <w:szCs w:val="32"/>
          <w:lang w:eastAsia="zh-CN"/>
        </w:rPr>
        <w:t>项目预算与绩效目标、项目内容相匹配，预算编制符合相关规定，编制依据充分，投入产出较为合理。项目单位组织机构健全。职责分工明确。各项管理制度较为健全，组织管理措施科学、可行。可以保证项目实施的有效性。</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1、项目依据的政策具有可持续性。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Fonts w:hint="eastAsia" w:ascii="仿宋" w:hAnsi="仿宋" w:eastAsia="仿宋" w:cs="仿宋"/>
          <w:color w:val="auto"/>
          <w:sz w:val="32"/>
          <w:szCs w:val="32"/>
          <w:lang w:val="en-US" w:eastAsia="zh-CN"/>
        </w:rPr>
        <w:t>项目符合国家法律法规，相关政策要求会持续存在，且随着经济社会发展水平的提升，相关政策会越来越完善。从大</w:t>
      </w:r>
      <w:r>
        <w:rPr>
          <w:rStyle w:val="12"/>
          <w:rFonts w:hint="eastAsia" w:ascii="仿宋" w:hAnsi="仿宋" w:eastAsia="仿宋" w:cs="仿宋"/>
          <w:b w:val="0"/>
          <w:color w:val="auto"/>
          <w:sz w:val="32"/>
          <w:szCs w:val="32"/>
          <w:lang w:val="en-US" w:eastAsia="zh-CN"/>
        </w:rPr>
        <w:t>的政策方向看具有可持续性。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2、项目实施的组织机构具有可持续性。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民丰县教育和科学技术局作为组织管理机构，属于政府工作部门，且财政拨款能够保障项目实施资金来源。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3、项目产出及效果具有可持续性。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val="en-US" w:eastAsia="zh-CN"/>
        </w:rPr>
        <w:t>项目执行期间严格执行资金管理办法和财政资金管理制度，能按照实施方案执行项目管理。专项资金专款专用，严格使用、管理、保障到位。专项资金由县财政局统一管理拨付到项目实施单位，严格按照项目实施进度分批次拨付，通过各个部门的项目配合，相互监督，协调合作。项目实施单位严格执行各项规章制度，</w:t>
      </w:r>
      <w:r>
        <w:rPr>
          <w:rStyle w:val="12"/>
          <w:rFonts w:hint="eastAsia" w:ascii="仿宋" w:hAnsi="仿宋" w:eastAsia="仿宋" w:cs="仿宋"/>
          <w:b w:val="0"/>
          <w:color w:val="auto"/>
          <w:sz w:val="32"/>
          <w:szCs w:val="32"/>
          <w:lang w:eastAsia="zh-CN"/>
        </w:rPr>
        <w:t>能够确保项目产出与效益的完成。</w:t>
      </w:r>
    </w:p>
    <w:p>
      <w:pPr>
        <w:pStyle w:val="2"/>
        <w:ind w:firstLine="640" w:firstLineChars="200"/>
        <w:rPr>
          <w:rFonts w:hint="eastAsia" w:ascii="仿宋" w:hAnsi="仿宋" w:eastAsia="仿宋" w:cs="仿宋"/>
          <w:sz w:val="32"/>
          <w:szCs w:val="32"/>
          <w:lang w:val="en-US" w:eastAsia="zh-CN"/>
        </w:rPr>
      </w:pPr>
      <w:r>
        <w:rPr>
          <w:rStyle w:val="12"/>
          <w:rFonts w:hint="eastAsia" w:ascii="仿宋" w:hAnsi="仿宋" w:eastAsia="仿宋" w:cs="仿宋"/>
          <w:b w:val="0"/>
          <w:bCs/>
          <w:color w:val="auto"/>
          <w:sz w:val="32"/>
          <w:szCs w:val="32"/>
          <w:lang w:eastAsia="zh-CN"/>
        </w:rPr>
        <w:t>总的来说，项目立项依据及政策具有可持续性，项目实施所需的组织机构具有可持续性，项目</w:t>
      </w:r>
      <w:r>
        <w:rPr>
          <w:rStyle w:val="12"/>
          <w:rFonts w:hint="eastAsia" w:ascii="仿宋" w:hAnsi="仿宋" w:eastAsia="仿宋" w:cs="仿宋"/>
          <w:b w:val="0"/>
          <w:bCs/>
          <w:color w:val="auto"/>
          <w:sz w:val="32"/>
          <w:szCs w:val="32"/>
          <w:lang w:val="en-US" w:eastAsia="zh-CN"/>
        </w:rPr>
        <w:t>产出及效果具有可持续性。故，该项目可持续性较强。</w:t>
      </w:r>
    </w:p>
    <w:p>
      <w:pPr>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r>
        <w:rPr>
          <w:rFonts w:hint="eastAsia" w:ascii="仿宋" w:hAnsi="仿宋" w:eastAsia="仿宋" w:cs="仿宋"/>
          <w:color w:val="auto"/>
          <w:sz w:val="32"/>
          <w:szCs w:val="32"/>
          <w:lang w:val="en-US" w:eastAsia="zh-CN"/>
        </w:rPr>
        <w:t>同时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该项目</w:t>
      </w:r>
      <w:r>
        <w:rPr>
          <w:rFonts w:hint="eastAsia" w:ascii="仿宋" w:hAnsi="仿宋" w:eastAsia="仿宋" w:cs="仿宋"/>
          <w:color w:val="auto"/>
          <w:sz w:val="32"/>
          <w:szCs w:val="32"/>
          <w:lang w:val="en-US" w:eastAsia="zh-CN"/>
        </w:rPr>
        <w:t>将</w:t>
      </w:r>
      <w:r>
        <w:rPr>
          <w:rFonts w:hint="eastAsia" w:ascii="仿宋" w:hAnsi="仿宋" w:eastAsia="仿宋" w:cs="仿宋"/>
          <w:color w:val="auto"/>
          <w:sz w:val="32"/>
          <w:szCs w:val="32"/>
        </w:rPr>
        <w:t>严格按照基本</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管理程序，严格</w:t>
      </w:r>
      <w:r>
        <w:rPr>
          <w:rFonts w:hint="eastAsia" w:ascii="仿宋" w:hAnsi="仿宋" w:eastAsia="仿宋" w:cs="仿宋"/>
          <w:color w:val="auto"/>
          <w:sz w:val="32"/>
          <w:szCs w:val="32"/>
          <w:lang w:eastAsia="zh-CN"/>
        </w:rPr>
        <w:t>执行实施方案的</w:t>
      </w:r>
      <w:r>
        <w:rPr>
          <w:rFonts w:hint="eastAsia" w:ascii="仿宋" w:hAnsi="仿宋" w:eastAsia="仿宋" w:cs="仿宋"/>
          <w:color w:val="auto"/>
          <w:sz w:val="32"/>
          <w:szCs w:val="32"/>
        </w:rPr>
        <w:t>有关要求，严格按照批准的项目</w:t>
      </w:r>
      <w:r>
        <w:rPr>
          <w:rFonts w:hint="eastAsia" w:ascii="仿宋" w:hAnsi="仿宋" w:eastAsia="仿宋" w:cs="仿宋"/>
          <w:color w:val="auto"/>
          <w:sz w:val="32"/>
          <w:szCs w:val="32"/>
          <w:lang w:eastAsia="zh-CN"/>
        </w:rPr>
        <w:t>主要</w:t>
      </w:r>
      <w:r>
        <w:rPr>
          <w:rFonts w:hint="eastAsia" w:ascii="仿宋" w:hAnsi="仿宋" w:eastAsia="仿宋" w:cs="仿宋"/>
          <w:color w:val="auto"/>
          <w:sz w:val="32"/>
          <w:szCs w:val="32"/>
        </w:rPr>
        <w:t>内容、标准组织项目实施，</w:t>
      </w:r>
      <w:r>
        <w:rPr>
          <w:rFonts w:hint="eastAsia" w:ascii="仿宋" w:hAnsi="仿宋" w:eastAsia="仿宋" w:cs="仿宋"/>
          <w:color w:val="auto"/>
          <w:sz w:val="32"/>
          <w:szCs w:val="32"/>
          <w:lang w:eastAsia="zh-CN"/>
        </w:rPr>
        <w:t>未</w:t>
      </w:r>
      <w:r>
        <w:rPr>
          <w:rFonts w:hint="eastAsia" w:ascii="仿宋" w:hAnsi="仿宋" w:eastAsia="仿宋" w:cs="仿宋"/>
          <w:color w:val="auto"/>
          <w:sz w:val="32"/>
          <w:szCs w:val="32"/>
        </w:rPr>
        <w:t>随意调整项目内容，</w:t>
      </w:r>
      <w:r>
        <w:rPr>
          <w:rFonts w:hint="eastAsia" w:ascii="仿宋" w:hAnsi="仿宋" w:eastAsia="仿宋" w:cs="仿宋"/>
          <w:color w:val="auto"/>
          <w:sz w:val="32"/>
          <w:szCs w:val="32"/>
          <w:lang w:eastAsia="zh-CN"/>
        </w:rPr>
        <w:t>无</w:t>
      </w:r>
      <w:r>
        <w:rPr>
          <w:rFonts w:hint="eastAsia" w:ascii="仿宋" w:hAnsi="仿宋" w:eastAsia="仿宋" w:cs="仿宋"/>
          <w:color w:val="auto"/>
          <w:sz w:val="32"/>
          <w:szCs w:val="32"/>
        </w:rPr>
        <w:t>新增政府债务或隐性债务。</w:t>
      </w:r>
      <w:r>
        <w:rPr>
          <w:rFonts w:hint="eastAsia" w:ascii="仿宋" w:hAnsi="仿宋" w:eastAsia="仿宋" w:cs="仿宋"/>
          <w:color w:val="auto"/>
          <w:sz w:val="32"/>
          <w:szCs w:val="32"/>
          <w:lang w:val="en-US" w:eastAsia="zh-CN"/>
        </w:rPr>
        <w:t>因此</w:t>
      </w:r>
      <w:r>
        <w:rPr>
          <w:rFonts w:hint="eastAsia" w:ascii="仿宋" w:hAnsi="仿宋" w:eastAsia="仿宋" w:cs="仿宋"/>
          <w:color w:val="auto"/>
          <w:sz w:val="32"/>
          <w:szCs w:val="32"/>
          <w:lang w:eastAsia="zh-CN"/>
        </w:rPr>
        <w:t>不存在财政资金重复投入风险，</w:t>
      </w:r>
      <w:r>
        <w:rPr>
          <w:rFonts w:hint="eastAsia" w:ascii="仿宋" w:hAnsi="仿宋" w:eastAsia="仿宋" w:cs="仿宋"/>
          <w:color w:val="auto"/>
          <w:sz w:val="32"/>
          <w:szCs w:val="32"/>
          <w:lang w:val="en-US" w:eastAsia="zh-CN"/>
        </w:rPr>
        <w:t>财政资金投入风险基本可控。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通过对该项目进行评估，项目相关性显著，绩效可实现性较强，实施方案基本有效，预期绩效具有一定可持续性，且财政资金投入风险基本可控。对该项目应“予以支持”。</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内容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主要内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本项目评估报告是评估小组根据项目单位所提供的材料进行全面分析与评估，结合现场考察情况，在专家评价意见的基础上综合形成的报告，报告重点针对项目预算申报进行评估，同时考虑到项目具有长期且不可分割性，对整个项目也进行了必要的附带评估。本报告的结论与意见是参考性的，仅供财政部门批复预算时使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1、国家、自治区相关法律、法规和规章制度：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（1）《中华人民共和国教育法》。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（2）《中共中央 国务院关于深化教育教学改革全面提高义务教育质量的意见》</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（3）《中华人民共和国预算法》。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2、国家、自治区确定的方针、政策：《中共中央 国务院关于深化教育教学改革全面提高义务教育质量的意见》。</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3、部门和行业的发展规划（计划）：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（1）《关于印发&lt;自治区本级部门预算绩效目标管理暂行办法&gt;》（新财预〔2018〕21号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（2）《和田地区财政资金使用跟踪反馈管理暂行办法》和地财政[2018]67号。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lang w:val="en-US" w:eastAsia="zh-CN" w:bidi="ar-SA"/>
        </w:rPr>
        <w:t>（3）</w:t>
      </w:r>
      <w:r>
        <w:rPr>
          <w:rFonts w:hint="eastAsia" w:ascii="仿宋" w:hAnsi="仿宋" w:eastAsia="仿宋" w:cs="仿宋"/>
          <w:color w:val="auto"/>
          <w:kern w:val="2"/>
          <w:sz w:val="32"/>
          <w:szCs w:val="32"/>
          <w:highlight w:val="none"/>
          <w:lang w:val="en-US" w:eastAsia="zh-CN" w:bidi="ar-SA"/>
        </w:rPr>
        <w:t>《关于推进和田地区教育事业发展的意见》（和党办〔2014〕39号）。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4、</w:t>
      </w:r>
      <w:r>
        <w:rPr>
          <w:rFonts w:hint="eastAsia" w:ascii="仿宋" w:hAnsi="仿宋" w:eastAsia="仿宋" w:cs="仿宋"/>
          <w:color w:val="auto"/>
          <w:sz w:val="32"/>
          <w:szCs w:val="32"/>
        </w:rPr>
        <w:t>单位职能及单位简介</w:t>
      </w:r>
    </w:p>
    <w:p>
      <w:pPr>
        <w:pStyle w:val="25"/>
        <w:keepNext w:val="0"/>
        <w:keepLines w:val="0"/>
        <w:pageBreakBefore w:val="0"/>
        <w:widowControl/>
        <w:kinsoku/>
        <w:wordWrap/>
        <w:overflowPunct/>
        <w:topLinePunct w:val="0"/>
        <w:autoSpaceDE/>
        <w:autoSpaceDN/>
        <w:bidi w:val="0"/>
        <w:adjustRightInd/>
        <w:snapToGrid/>
        <w:spacing w:before="0" w:after="0" w:line="600" w:lineRule="exact"/>
        <w:ind w:firstLine="480" w:firstLineChars="15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民丰县教育和科学技术局是民丰县人民政府工作部门，为正科级。民丰县教育和科学技术局是民丰县人民政府工作部门，为正科级。</w:t>
      </w:r>
      <w:r>
        <w:rPr>
          <w:rFonts w:hint="eastAsia" w:ascii="仿宋_GB2312" w:hAnsi="宋体" w:eastAsia="仿宋_GB2312"/>
          <w:kern w:val="0"/>
          <w:sz w:val="32"/>
          <w:szCs w:val="32"/>
        </w:rPr>
        <w:t>民丰县教育和科学技术局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13</w:t>
      </w:r>
      <w:r>
        <w:rPr>
          <w:rFonts w:hint="eastAsia" w:ascii="仿宋_GB2312" w:hAnsi="黑体" w:eastAsia="仿宋_GB2312" w:cs="宋体"/>
          <w:bCs/>
          <w:kern w:val="0"/>
          <w:sz w:val="32"/>
          <w:szCs w:val="32"/>
        </w:rPr>
        <w:t>个处室，分别是：</w:t>
      </w:r>
      <w:r>
        <w:rPr>
          <w:rFonts w:hint="eastAsia" w:ascii="仿宋_GB2312" w:hAnsi="宋体" w:eastAsia="仿宋_GB2312"/>
          <w:kern w:val="0"/>
          <w:sz w:val="32"/>
          <w:szCs w:val="32"/>
        </w:rPr>
        <w:t>办公室、组织人事办、思想政治办、维护学校稳定工作办、教师培训中心、学生招考综合服务中心、基础教育办、项目办公室、核算中心、教学研究室、电教办、科技科协办、青少年活动中心。</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民丰县教育和科学技术局的主要职责是:</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（1）贯彻执行党和国家、自治区、地区有关教育、科技的方针、政策、法律、法规；贯彻执行并监督实施地区教育、科技、工作的地方性法规和制度。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（2）组织编制全县教育、科技政策及规章，指导、协调全县教育、科技发展规划的实施及管理及设施装备工作。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（3）主管全县教育、科技工作，统一管理教育、科技干部队伍建设，负责业务人员的资格认定、职称评聘和继续教育管理工作，协助有关部门做好教育、科技机构设置及定编定员等工作。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（4）监督检查全县教育、科技在党风廉政建设、行风建设和反腐败工作。负责提出全县教育、科技经费预算的建议，执行经费的管理、使用和审计，监督检查财经纪律执行情况。</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（5）组织协调全县教育、科技知识普及工作，并组织实施，督促检查，推动教育、科技知识普及工作发展；负责全县教育、科技信息宣传和培训工作。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（6）统筹规划、协调指导全县教育体制改革，加强对全县社会力量办学的管理和引导，逐步建立与社会主义市场经济体制和政治体制、科技体制相适应的教育体制及运行机制，指导全县学校内部管理体制改革。</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（7）负责组织普通中小学招生工作和大中专院校招生考试工作，积极协调有关部门加强学校领导班子的建设，教职工的调配、培养和提高师资队伍，办理教职工录用和退休等事宜。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负责实施全县九年义务教育和扫除青壮年文盲工作，综合管理全县的基础教育、高中教育、执业教育以及学前教育等工作，指导协调全县教育发展工作，加强各级各类学校检查和评估，全面提高教育教学质量。</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指导全县学校的德育、体育卫生文化艺术、精神文明建设、国防教育、环保教育以及校园综合治理、未成年人保护、安全、美化的工作；指导全县学校社会治安综合治理和安全稳定工作，协同有关部门及时处理学校发生的突发事件。</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（10）负责管理、指导县内中小学、幼儿园开展课外活动，积极探索课外教育活动的新模式，增强课外活动的特色与活力，突出个性化教育，尊重兴趣爱好，注重创新精神和实践能力，培养自尊自信。</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负责科研开发与科技创新建设，推进县科技基础平台建设和科技资源共享。会同有关部门拟定科技人才队伍建设规划和培养科技人才的政策措施，提出充分调动科技人员积极性、创造性的意见建议，开展科技干部、科研学术带头人和城乡重大经济技术活动技术带头人的培训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（12）负责民族语言文字规范化、标准化、信息化工作；负责有关民族语言文字监测、研究、科研和文化保护工作;承担民族语言文字翻译专业人才规划和培养培训工作；组织民族语言文字翻译职称评定工作。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（13）承担县人民政府教育督导委员会的具体工作，制定教育督导计划和评估方案，并进行指导、监督、检查和评估。</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14）负责外国专家管理和拟定有关管理办法；指导、协调引进国外技术、管理人才项目工作；负责聘请外国专家引进项目申报和审批工作，管理和拨付项目资助经费，并监督项目实施；负责引进国外智力成果示范推广工作。</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1.实施方案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2.专家论证意见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bCs/>
          <w:color w:val="auto"/>
          <w:sz w:val="32"/>
          <w:szCs w:val="32"/>
          <w:lang w:val="en-US" w:eastAsia="zh-CN"/>
        </w:rPr>
        <w:t>《教学督导专项检查经费</w:t>
      </w:r>
      <w:r>
        <w:rPr>
          <w:rFonts w:hint="eastAsia" w:ascii="仿宋" w:hAnsi="仿宋" w:eastAsia="仿宋" w:cs="仿宋"/>
          <w:bCs/>
          <w:color w:val="auto"/>
          <w:sz w:val="32"/>
          <w:szCs w:val="32"/>
        </w:rPr>
        <w:t>项目</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pStyle w:val="3"/>
        <w:ind w:left="0" w:leftChars="0"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行政单位</w:t>
      </w:r>
      <w:r>
        <w:rPr>
          <w:rFonts w:hint="eastAsia" w:ascii="仿宋" w:hAnsi="仿宋" w:eastAsia="仿宋" w:cs="仿宋"/>
          <w:color w:val="auto"/>
          <w:sz w:val="32"/>
          <w:szCs w:val="32"/>
        </w:rPr>
        <w:t>财务制度》</w:t>
      </w:r>
    </w:p>
    <w:p>
      <w:pPr>
        <w:pStyle w:val="3"/>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B5FFCFA"/>
    <w:multiLevelType w:val="singleLevel"/>
    <w:tmpl w:val="5B5FFCFA"/>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abstractNum w:abstractNumId="3">
    <w:nsid w:val="7E9A1150"/>
    <w:multiLevelType w:val="singleLevel"/>
    <w:tmpl w:val="7E9A1150"/>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CF3A5D"/>
    <w:rsid w:val="00F11E6D"/>
    <w:rsid w:val="01054869"/>
    <w:rsid w:val="013E0208"/>
    <w:rsid w:val="015D6FAE"/>
    <w:rsid w:val="016611EA"/>
    <w:rsid w:val="018D3C1F"/>
    <w:rsid w:val="01952116"/>
    <w:rsid w:val="01DE4F97"/>
    <w:rsid w:val="020E2A38"/>
    <w:rsid w:val="023B6478"/>
    <w:rsid w:val="02441943"/>
    <w:rsid w:val="028D0607"/>
    <w:rsid w:val="029A0A2C"/>
    <w:rsid w:val="02B50645"/>
    <w:rsid w:val="02D053DF"/>
    <w:rsid w:val="03316484"/>
    <w:rsid w:val="03442FFC"/>
    <w:rsid w:val="048248A9"/>
    <w:rsid w:val="04F66797"/>
    <w:rsid w:val="04FF4FEB"/>
    <w:rsid w:val="051D5A53"/>
    <w:rsid w:val="05453501"/>
    <w:rsid w:val="056370A6"/>
    <w:rsid w:val="0624262D"/>
    <w:rsid w:val="062F0312"/>
    <w:rsid w:val="06C5743D"/>
    <w:rsid w:val="06F33AB3"/>
    <w:rsid w:val="06F50ADD"/>
    <w:rsid w:val="081D2AE1"/>
    <w:rsid w:val="083D4B34"/>
    <w:rsid w:val="084B2109"/>
    <w:rsid w:val="08D9103A"/>
    <w:rsid w:val="093443BE"/>
    <w:rsid w:val="09855E39"/>
    <w:rsid w:val="09A9167B"/>
    <w:rsid w:val="09AE1863"/>
    <w:rsid w:val="09B87218"/>
    <w:rsid w:val="09BB4B33"/>
    <w:rsid w:val="0A2A388C"/>
    <w:rsid w:val="0A5B7D36"/>
    <w:rsid w:val="0B1A2168"/>
    <w:rsid w:val="0BC010AA"/>
    <w:rsid w:val="0BEF7BAC"/>
    <w:rsid w:val="0C0B76CB"/>
    <w:rsid w:val="0C1408A2"/>
    <w:rsid w:val="0C5D450C"/>
    <w:rsid w:val="0CD97160"/>
    <w:rsid w:val="0D735489"/>
    <w:rsid w:val="0D871459"/>
    <w:rsid w:val="0E1136FA"/>
    <w:rsid w:val="0E1F7EE3"/>
    <w:rsid w:val="0E5C4623"/>
    <w:rsid w:val="0E6E1D7A"/>
    <w:rsid w:val="0E9F7165"/>
    <w:rsid w:val="0EED2D82"/>
    <w:rsid w:val="0F3F0A88"/>
    <w:rsid w:val="0F9C2846"/>
    <w:rsid w:val="0FA56207"/>
    <w:rsid w:val="0FD659DE"/>
    <w:rsid w:val="0FED7C80"/>
    <w:rsid w:val="100E4185"/>
    <w:rsid w:val="101C44CA"/>
    <w:rsid w:val="108E1F4B"/>
    <w:rsid w:val="10E66A06"/>
    <w:rsid w:val="116A39F3"/>
    <w:rsid w:val="11E62032"/>
    <w:rsid w:val="124475C0"/>
    <w:rsid w:val="127D22E8"/>
    <w:rsid w:val="12A34336"/>
    <w:rsid w:val="12B10B1A"/>
    <w:rsid w:val="12E74AA5"/>
    <w:rsid w:val="13236DB9"/>
    <w:rsid w:val="133A7289"/>
    <w:rsid w:val="143C2425"/>
    <w:rsid w:val="14AC247C"/>
    <w:rsid w:val="15953456"/>
    <w:rsid w:val="15980F03"/>
    <w:rsid w:val="15C50BAE"/>
    <w:rsid w:val="16E846AC"/>
    <w:rsid w:val="17104F41"/>
    <w:rsid w:val="171A0E2E"/>
    <w:rsid w:val="177E0220"/>
    <w:rsid w:val="17DA7A45"/>
    <w:rsid w:val="17F418A9"/>
    <w:rsid w:val="17F515A4"/>
    <w:rsid w:val="18A5269F"/>
    <w:rsid w:val="18C5724C"/>
    <w:rsid w:val="18F5208F"/>
    <w:rsid w:val="190D0125"/>
    <w:rsid w:val="19BD0569"/>
    <w:rsid w:val="19C53504"/>
    <w:rsid w:val="19FC7DC3"/>
    <w:rsid w:val="1A2069B5"/>
    <w:rsid w:val="1A3F4E5A"/>
    <w:rsid w:val="1AED67B7"/>
    <w:rsid w:val="1AF2441A"/>
    <w:rsid w:val="1AFD7E1D"/>
    <w:rsid w:val="1B1833DD"/>
    <w:rsid w:val="1B6D2A3D"/>
    <w:rsid w:val="1B846282"/>
    <w:rsid w:val="1BD6480C"/>
    <w:rsid w:val="1BF86A46"/>
    <w:rsid w:val="1C5822F6"/>
    <w:rsid w:val="1C675967"/>
    <w:rsid w:val="1C6D6F94"/>
    <w:rsid w:val="1C90583C"/>
    <w:rsid w:val="1CDC3433"/>
    <w:rsid w:val="1D094B5A"/>
    <w:rsid w:val="1D2A2BC3"/>
    <w:rsid w:val="1D2C7E00"/>
    <w:rsid w:val="1D6337F7"/>
    <w:rsid w:val="1D8071C9"/>
    <w:rsid w:val="1D811C8B"/>
    <w:rsid w:val="1DC55B79"/>
    <w:rsid w:val="1DCD0432"/>
    <w:rsid w:val="1E7E35C2"/>
    <w:rsid w:val="1E9F6AD0"/>
    <w:rsid w:val="1F1D3673"/>
    <w:rsid w:val="1FE83678"/>
    <w:rsid w:val="201662C5"/>
    <w:rsid w:val="20311205"/>
    <w:rsid w:val="20397AF8"/>
    <w:rsid w:val="20764F86"/>
    <w:rsid w:val="208E4E20"/>
    <w:rsid w:val="20C74BE2"/>
    <w:rsid w:val="20DE327E"/>
    <w:rsid w:val="20EE5F93"/>
    <w:rsid w:val="20F23CAF"/>
    <w:rsid w:val="21393877"/>
    <w:rsid w:val="21473D45"/>
    <w:rsid w:val="21B6514D"/>
    <w:rsid w:val="21E97E9F"/>
    <w:rsid w:val="21F9537E"/>
    <w:rsid w:val="224D3D43"/>
    <w:rsid w:val="225754E8"/>
    <w:rsid w:val="227253D3"/>
    <w:rsid w:val="22F02F92"/>
    <w:rsid w:val="233317E1"/>
    <w:rsid w:val="238E08B1"/>
    <w:rsid w:val="24032071"/>
    <w:rsid w:val="243B7DDA"/>
    <w:rsid w:val="243F6E75"/>
    <w:rsid w:val="244664A7"/>
    <w:rsid w:val="246B2D18"/>
    <w:rsid w:val="249B2350"/>
    <w:rsid w:val="256A3A54"/>
    <w:rsid w:val="25B440FD"/>
    <w:rsid w:val="25B60E72"/>
    <w:rsid w:val="25D91A6E"/>
    <w:rsid w:val="25E556FF"/>
    <w:rsid w:val="25FA7938"/>
    <w:rsid w:val="267601BD"/>
    <w:rsid w:val="26901D18"/>
    <w:rsid w:val="26DD4C0F"/>
    <w:rsid w:val="26E240B6"/>
    <w:rsid w:val="275E5166"/>
    <w:rsid w:val="277942F2"/>
    <w:rsid w:val="28361A5A"/>
    <w:rsid w:val="28D01E46"/>
    <w:rsid w:val="29BC098F"/>
    <w:rsid w:val="2A5461A7"/>
    <w:rsid w:val="2A656172"/>
    <w:rsid w:val="2A8A36C4"/>
    <w:rsid w:val="2A8E7BD3"/>
    <w:rsid w:val="2A943931"/>
    <w:rsid w:val="2AF50BFD"/>
    <w:rsid w:val="2B201276"/>
    <w:rsid w:val="2B39119E"/>
    <w:rsid w:val="2B650AF2"/>
    <w:rsid w:val="2B85322B"/>
    <w:rsid w:val="2B971008"/>
    <w:rsid w:val="2BC66837"/>
    <w:rsid w:val="2C0C3782"/>
    <w:rsid w:val="2C0E7826"/>
    <w:rsid w:val="2C2D141C"/>
    <w:rsid w:val="2D1550A4"/>
    <w:rsid w:val="2D666E4B"/>
    <w:rsid w:val="2DE00031"/>
    <w:rsid w:val="2DF15DFD"/>
    <w:rsid w:val="2DF9711E"/>
    <w:rsid w:val="2E0C5F32"/>
    <w:rsid w:val="2E413A5C"/>
    <w:rsid w:val="2EB85E49"/>
    <w:rsid w:val="2ECC2D36"/>
    <w:rsid w:val="2EF20553"/>
    <w:rsid w:val="2F14784F"/>
    <w:rsid w:val="2F5D13E8"/>
    <w:rsid w:val="2F81408F"/>
    <w:rsid w:val="2F976B05"/>
    <w:rsid w:val="2FAE2071"/>
    <w:rsid w:val="2FFA6DE3"/>
    <w:rsid w:val="30370CE7"/>
    <w:rsid w:val="305119C6"/>
    <w:rsid w:val="30834838"/>
    <w:rsid w:val="316005CA"/>
    <w:rsid w:val="31BA1F08"/>
    <w:rsid w:val="31BF65A1"/>
    <w:rsid w:val="31F54E76"/>
    <w:rsid w:val="32061986"/>
    <w:rsid w:val="322F7F95"/>
    <w:rsid w:val="32400D9D"/>
    <w:rsid w:val="32A04722"/>
    <w:rsid w:val="337A0897"/>
    <w:rsid w:val="33B456FA"/>
    <w:rsid w:val="34070494"/>
    <w:rsid w:val="34085CD3"/>
    <w:rsid w:val="34F125F4"/>
    <w:rsid w:val="34FB2401"/>
    <w:rsid w:val="35062951"/>
    <w:rsid w:val="35586770"/>
    <w:rsid w:val="361F00E6"/>
    <w:rsid w:val="36494625"/>
    <w:rsid w:val="364C3CCF"/>
    <w:rsid w:val="364E633A"/>
    <w:rsid w:val="367C61D6"/>
    <w:rsid w:val="3700231F"/>
    <w:rsid w:val="37314123"/>
    <w:rsid w:val="37535DB9"/>
    <w:rsid w:val="376626F1"/>
    <w:rsid w:val="3773532D"/>
    <w:rsid w:val="37F05A02"/>
    <w:rsid w:val="37FE6A65"/>
    <w:rsid w:val="392F6990"/>
    <w:rsid w:val="39516C4E"/>
    <w:rsid w:val="39615F39"/>
    <w:rsid w:val="397607DB"/>
    <w:rsid w:val="397B0692"/>
    <w:rsid w:val="39E41117"/>
    <w:rsid w:val="39F118B9"/>
    <w:rsid w:val="3A1E5BAB"/>
    <w:rsid w:val="3A3C7EEF"/>
    <w:rsid w:val="3A721A6F"/>
    <w:rsid w:val="3A8C361B"/>
    <w:rsid w:val="3AD1374D"/>
    <w:rsid w:val="3B1C0595"/>
    <w:rsid w:val="3B2C53E9"/>
    <w:rsid w:val="3B4A7EBC"/>
    <w:rsid w:val="3B6F178F"/>
    <w:rsid w:val="3B7A677E"/>
    <w:rsid w:val="3B842124"/>
    <w:rsid w:val="3BD97113"/>
    <w:rsid w:val="3C482A47"/>
    <w:rsid w:val="3C484CE8"/>
    <w:rsid w:val="3C8E3EE0"/>
    <w:rsid w:val="3D025608"/>
    <w:rsid w:val="3D2730D3"/>
    <w:rsid w:val="3D35359E"/>
    <w:rsid w:val="3D516A21"/>
    <w:rsid w:val="3D807338"/>
    <w:rsid w:val="3DEA7368"/>
    <w:rsid w:val="3E722AE1"/>
    <w:rsid w:val="3E975F6D"/>
    <w:rsid w:val="3ECE6B68"/>
    <w:rsid w:val="3F390902"/>
    <w:rsid w:val="3FCE532D"/>
    <w:rsid w:val="3FE117F2"/>
    <w:rsid w:val="401C3517"/>
    <w:rsid w:val="40736A77"/>
    <w:rsid w:val="409D3644"/>
    <w:rsid w:val="40AD6D70"/>
    <w:rsid w:val="40CD3266"/>
    <w:rsid w:val="412F4064"/>
    <w:rsid w:val="41C8702B"/>
    <w:rsid w:val="423C34A3"/>
    <w:rsid w:val="423F3E14"/>
    <w:rsid w:val="42D3318F"/>
    <w:rsid w:val="432A543E"/>
    <w:rsid w:val="434B464C"/>
    <w:rsid w:val="43BD20C6"/>
    <w:rsid w:val="43EB4276"/>
    <w:rsid w:val="441253AF"/>
    <w:rsid w:val="445F7B87"/>
    <w:rsid w:val="456D7650"/>
    <w:rsid w:val="469F374B"/>
    <w:rsid w:val="46A07351"/>
    <w:rsid w:val="46B03C17"/>
    <w:rsid w:val="46B82D4C"/>
    <w:rsid w:val="46D41550"/>
    <w:rsid w:val="472A270B"/>
    <w:rsid w:val="476C6DBC"/>
    <w:rsid w:val="47E44A8A"/>
    <w:rsid w:val="47EA0B06"/>
    <w:rsid w:val="47F64860"/>
    <w:rsid w:val="48456F93"/>
    <w:rsid w:val="485A270D"/>
    <w:rsid w:val="48820632"/>
    <w:rsid w:val="48CC2F48"/>
    <w:rsid w:val="48FC00D6"/>
    <w:rsid w:val="49A11CAE"/>
    <w:rsid w:val="4A4A53F5"/>
    <w:rsid w:val="4A66296B"/>
    <w:rsid w:val="4A6A07D8"/>
    <w:rsid w:val="4AED6187"/>
    <w:rsid w:val="4B0B6050"/>
    <w:rsid w:val="4B284138"/>
    <w:rsid w:val="4C0D65B0"/>
    <w:rsid w:val="4C404649"/>
    <w:rsid w:val="4C665EA0"/>
    <w:rsid w:val="4D293056"/>
    <w:rsid w:val="4D301742"/>
    <w:rsid w:val="4D4E601A"/>
    <w:rsid w:val="4D841A4B"/>
    <w:rsid w:val="4D9D7F5D"/>
    <w:rsid w:val="4DA242A1"/>
    <w:rsid w:val="4E0C1C90"/>
    <w:rsid w:val="4E360A1B"/>
    <w:rsid w:val="4FB47F8D"/>
    <w:rsid w:val="4FDC6038"/>
    <w:rsid w:val="502F050E"/>
    <w:rsid w:val="50B36A43"/>
    <w:rsid w:val="50DE6A72"/>
    <w:rsid w:val="513A4A0C"/>
    <w:rsid w:val="515D203B"/>
    <w:rsid w:val="51731038"/>
    <w:rsid w:val="517E2E87"/>
    <w:rsid w:val="51DA507E"/>
    <w:rsid w:val="51E151ED"/>
    <w:rsid w:val="52234B87"/>
    <w:rsid w:val="528D5F6D"/>
    <w:rsid w:val="529F3AC9"/>
    <w:rsid w:val="52B25F78"/>
    <w:rsid w:val="52BB3184"/>
    <w:rsid w:val="53980E8A"/>
    <w:rsid w:val="539A0105"/>
    <w:rsid w:val="53A065BD"/>
    <w:rsid w:val="53AD7A19"/>
    <w:rsid w:val="53D30C8E"/>
    <w:rsid w:val="546A1E8D"/>
    <w:rsid w:val="547D4F88"/>
    <w:rsid w:val="54883071"/>
    <w:rsid w:val="54A9646A"/>
    <w:rsid w:val="54AA2DFE"/>
    <w:rsid w:val="55004D62"/>
    <w:rsid w:val="550A54F0"/>
    <w:rsid w:val="5529221D"/>
    <w:rsid w:val="554A2391"/>
    <w:rsid w:val="55B9278C"/>
    <w:rsid w:val="55E91885"/>
    <w:rsid w:val="5696324F"/>
    <w:rsid w:val="56EE5C96"/>
    <w:rsid w:val="56F42115"/>
    <w:rsid w:val="572267AA"/>
    <w:rsid w:val="57652D51"/>
    <w:rsid w:val="57D761A5"/>
    <w:rsid w:val="58154C4E"/>
    <w:rsid w:val="58623BF8"/>
    <w:rsid w:val="58A83203"/>
    <w:rsid w:val="58CF5D32"/>
    <w:rsid w:val="58D35DD1"/>
    <w:rsid w:val="58D7335B"/>
    <w:rsid w:val="58FD4E82"/>
    <w:rsid w:val="592E39B3"/>
    <w:rsid w:val="593E7BB8"/>
    <w:rsid w:val="59402FE3"/>
    <w:rsid w:val="59565786"/>
    <w:rsid w:val="59B53DEC"/>
    <w:rsid w:val="59BF354A"/>
    <w:rsid w:val="5A47403B"/>
    <w:rsid w:val="5AB526C9"/>
    <w:rsid w:val="5AB82A9D"/>
    <w:rsid w:val="5B1954BB"/>
    <w:rsid w:val="5D365CAA"/>
    <w:rsid w:val="5D4E431E"/>
    <w:rsid w:val="5E0A6E1D"/>
    <w:rsid w:val="5ECD572D"/>
    <w:rsid w:val="5EF920F0"/>
    <w:rsid w:val="5F0A79ED"/>
    <w:rsid w:val="5F2148C4"/>
    <w:rsid w:val="5F281735"/>
    <w:rsid w:val="5F9D2CE0"/>
    <w:rsid w:val="5FA52ED3"/>
    <w:rsid w:val="604757AA"/>
    <w:rsid w:val="607A1F3D"/>
    <w:rsid w:val="608C05CF"/>
    <w:rsid w:val="60991858"/>
    <w:rsid w:val="60EB6A4A"/>
    <w:rsid w:val="618D3A69"/>
    <w:rsid w:val="619E41FB"/>
    <w:rsid w:val="61B65781"/>
    <w:rsid w:val="62136EA9"/>
    <w:rsid w:val="624A5550"/>
    <w:rsid w:val="62586AED"/>
    <w:rsid w:val="62711DF8"/>
    <w:rsid w:val="62907F02"/>
    <w:rsid w:val="62AC048E"/>
    <w:rsid w:val="62C428CB"/>
    <w:rsid w:val="62D44354"/>
    <w:rsid w:val="63232D81"/>
    <w:rsid w:val="63525110"/>
    <w:rsid w:val="64146336"/>
    <w:rsid w:val="642C6C5F"/>
    <w:rsid w:val="642E1B9A"/>
    <w:rsid w:val="64860768"/>
    <w:rsid w:val="64FD51A7"/>
    <w:rsid w:val="65585550"/>
    <w:rsid w:val="657610B9"/>
    <w:rsid w:val="65A77252"/>
    <w:rsid w:val="65EE530D"/>
    <w:rsid w:val="66FD2275"/>
    <w:rsid w:val="67097119"/>
    <w:rsid w:val="67184E82"/>
    <w:rsid w:val="676A40B3"/>
    <w:rsid w:val="67993212"/>
    <w:rsid w:val="67B459C1"/>
    <w:rsid w:val="683D167D"/>
    <w:rsid w:val="68BB6E64"/>
    <w:rsid w:val="68C33DA9"/>
    <w:rsid w:val="68CB47DE"/>
    <w:rsid w:val="691368F2"/>
    <w:rsid w:val="696D62E0"/>
    <w:rsid w:val="69E37F8A"/>
    <w:rsid w:val="6AAD46D2"/>
    <w:rsid w:val="6AC622E1"/>
    <w:rsid w:val="6B495796"/>
    <w:rsid w:val="6B7F6CDF"/>
    <w:rsid w:val="6B9A1DFE"/>
    <w:rsid w:val="6BBC7F29"/>
    <w:rsid w:val="6BBF063B"/>
    <w:rsid w:val="6BCB641C"/>
    <w:rsid w:val="6C1E5D27"/>
    <w:rsid w:val="6C4C768B"/>
    <w:rsid w:val="6CE27501"/>
    <w:rsid w:val="6D3779A6"/>
    <w:rsid w:val="6D8503CE"/>
    <w:rsid w:val="6DE328D8"/>
    <w:rsid w:val="6E322EB2"/>
    <w:rsid w:val="6E361EA1"/>
    <w:rsid w:val="6E643AB4"/>
    <w:rsid w:val="6EAD53FC"/>
    <w:rsid w:val="6EB524BB"/>
    <w:rsid w:val="6ECF2E60"/>
    <w:rsid w:val="6F18044A"/>
    <w:rsid w:val="6F493024"/>
    <w:rsid w:val="6F5535E5"/>
    <w:rsid w:val="6F7A2C81"/>
    <w:rsid w:val="6F7E3958"/>
    <w:rsid w:val="6FBD6F92"/>
    <w:rsid w:val="6FF40710"/>
    <w:rsid w:val="6FFC34E0"/>
    <w:rsid w:val="700B24AF"/>
    <w:rsid w:val="70277C83"/>
    <w:rsid w:val="70334A57"/>
    <w:rsid w:val="70651092"/>
    <w:rsid w:val="708A1B58"/>
    <w:rsid w:val="70907DAE"/>
    <w:rsid w:val="71162338"/>
    <w:rsid w:val="711733E9"/>
    <w:rsid w:val="71582C5C"/>
    <w:rsid w:val="71A9184B"/>
    <w:rsid w:val="71AD2A02"/>
    <w:rsid w:val="72497424"/>
    <w:rsid w:val="72A34C18"/>
    <w:rsid w:val="74175983"/>
    <w:rsid w:val="74270529"/>
    <w:rsid w:val="7471367B"/>
    <w:rsid w:val="74992165"/>
    <w:rsid w:val="757C10DA"/>
    <w:rsid w:val="759A6C8C"/>
    <w:rsid w:val="759D2574"/>
    <w:rsid w:val="75E35B61"/>
    <w:rsid w:val="76001EAC"/>
    <w:rsid w:val="762E14C6"/>
    <w:rsid w:val="76337E79"/>
    <w:rsid w:val="76A70E90"/>
    <w:rsid w:val="76C2766E"/>
    <w:rsid w:val="785A1719"/>
    <w:rsid w:val="785E0561"/>
    <w:rsid w:val="78831055"/>
    <w:rsid w:val="79BA1933"/>
    <w:rsid w:val="7A004C20"/>
    <w:rsid w:val="7A5E439F"/>
    <w:rsid w:val="7A805246"/>
    <w:rsid w:val="7A9167AD"/>
    <w:rsid w:val="7B9A6432"/>
    <w:rsid w:val="7BF35895"/>
    <w:rsid w:val="7C8A5DAD"/>
    <w:rsid w:val="7CFF3C32"/>
    <w:rsid w:val="7DCA1438"/>
    <w:rsid w:val="7E485964"/>
    <w:rsid w:val="7EF84129"/>
    <w:rsid w:val="7F592753"/>
    <w:rsid w:val="7F6D288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3"/>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 w:type="paragraph" w:customStyle="1" w:styleId="25">
    <w:name w:val="p15"/>
    <w:basedOn w:val="1"/>
    <w:qFormat/>
    <w:uiPriority w:val="0"/>
    <w:pPr>
      <w:widowControl/>
      <w:spacing w:before="100" w:after="100"/>
      <w:jc w:val="left"/>
    </w:pPr>
    <w:rPr>
      <w:rFonts w:ascii="Calibri" w:hAnsi="Calibri" w:cs="Calibri"/>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0</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2020-05-19T15:12:23Z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