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44"/>
          <w:szCs w:val="44"/>
          <w:lang w:val="en-US" w:eastAsia="zh-CN"/>
        </w:rPr>
      </w:pPr>
    </w:p>
    <w:p>
      <w:pPr>
        <w:jc w:val="center"/>
        <w:rPr>
          <w:rFonts w:hint="eastAsia" w:ascii="仿宋" w:hAnsi="仿宋" w:eastAsia="仿宋" w:cs="仿宋"/>
          <w:b/>
          <w:bCs/>
          <w:color w:val="auto"/>
          <w:sz w:val="44"/>
          <w:szCs w:val="44"/>
          <w:lang w:val="en-US" w:eastAsia="zh-CN"/>
        </w:rPr>
      </w:pPr>
    </w:p>
    <w:p>
      <w:pPr>
        <w:pStyle w:val="2"/>
        <w:rPr>
          <w:rFonts w:hint="eastAsia" w:ascii="仿宋" w:hAnsi="仿宋" w:eastAsia="仿宋" w:cs="仿宋"/>
          <w:b/>
          <w:bCs/>
          <w:color w:val="auto"/>
          <w:sz w:val="44"/>
          <w:szCs w:val="44"/>
          <w:lang w:val="en-US" w:eastAsia="zh-CN"/>
        </w:rPr>
      </w:pPr>
    </w:p>
    <w:p>
      <w:pPr>
        <w:rPr>
          <w:rFonts w:hint="eastAsia"/>
          <w:color w:val="auto"/>
          <w:lang w:val="en-US" w:eastAsia="zh-CN"/>
        </w:rPr>
      </w:pPr>
    </w:p>
    <w:p>
      <w:pPr>
        <w:jc w:val="center"/>
        <w:rPr>
          <w:rFonts w:hint="eastAsia" w:ascii="仿宋" w:hAnsi="仿宋" w:eastAsia="仿宋" w:cs="仿宋"/>
          <w:b/>
          <w:bCs/>
          <w:color w:val="auto"/>
          <w:sz w:val="44"/>
          <w:szCs w:val="44"/>
          <w:lang w:val="en-US" w:eastAsia="zh-CN"/>
        </w:rPr>
      </w:pPr>
    </w:p>
    <w:p>
      <w:pPr>
        <w:jc w:val="center"/>
        <w:rPr>
          <w:rFonts w:ascii="仿宋_GB2312" w:hAnsi="仿宋_GB2312" w:eastAsia="仿宋_GB2312" w:cs="仿宋_GB2312"/>
          <w:color w:val="auto"/>
          <w:sz w:val="32"/>
          <w:szCs w:val="32"/>
        </w:rPr>
      </w:pPr>
      <w:r>
        <w:rPr>
          <w:rFonts w:hint="eastAsia" w:ascii="宋体" w:hAnsi="宋体" w:eastAsia="宋体" w:cs="宋体"/>
          <w:b/>
          <w:bCs/>
          <w:color w:val="auto"/>
          <w:sz w:val="44"/>
          <w:szCs w:val="44"/>
        </w:rPr>
        <w:t>自治区财政支出事前绩效评估报告</w:t>
      </w:r>
    </w:p>
    <w:p>
      <w:pPr>
        <w:widowControl/>
        <w:jc w:val="center"/>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widowControl/>
        <w:rPr>
          <w:rFonts w:ascii="Times New Roman" w:hAnsi="Times New Roman" w:eastAsia="宋体" w:cs="Times New Roman"/>
          <w:b/>
          <w:bCs/>
          <w:color w:val="auto"/>
          <w:kern w:val="0"/>
          <w:sz w:val="32"/>
          <w:szCs w:val="32"/>
        </w:rPr>
      </w:pPr>
    </w:p>
    <w:p>
      <w:pPr>
        <w:ind w:left="2564" w:leftChars="456" w:hanging="1606" w:hangingChars="500"/>
        <w:rPr>
          <w:rFonts w:hint="default" w:ascii="仿宋" w:hAnsi="仿宋" w:eastAsia="仿宋" w:cs="仿宋"/>
          <w:b/>
          <w:bCs/>
          <w:color w:val="auto"/>
          <w:sz w:val="32"/>
          <w:szCs w:val="32"/>
          <w:lang w:val="en-US"/>
        </w:rPr>
      </w:pPr>
      <w:r>
        <w:rPr>
          <w:rFonts w:ascii="仿宋" w:hAnsi="仿宋" w:eastAsia="仿宋" w:cs="仿宋"/>
          <w:b/>
          <w:bCs/>
          <w:color w:val="auto"/>
          <w:kern w:val="2"/>
          <w:sz w:val="32"/>
          <w:szCs w:val="32"/>
        </w:rPr>
        <w:t>项目名称</w:t>
      </w:r>
      <w:r>
        <w:rPr>
          <w:rFonts w:hint="eastAsia" w:ascii="仿宋" w:hAnsi="仿宋" w:eastAsia="仿宋" w:cs="仿宋"/>
          <w:b/>
          <w:bCs/>
          <w:color w:val="auto"/>
          <w:kern w:val="2"/>
          <w:sz w:val="32"/>
          <w:szCs w:val="32"/>
          <w:lang w:eastAsia="zh-CN"/>
        </w:rPr>
        <w:t>：</w:t>
      </w:r>
      <w:r>
        <w:rPr>
          <w:rFonts w:hint="eastAsia" w:ascii="仿宋" w:hAnsi="仿宋" w:eastAsia="仿宋" w:cs="仿宋"/>
          <w:b/>
          <w:bCs/>
          <w:color w:val="auto"/>
          <w:kern w:val="2"/>
          <w:sz w:val="32"/>
          <w:szCs w:val="32"/>
          <w:lang w:val="en-US" w:eastAsia="zh-CN"/>
        </w:rPr>
        <w:t>审查调查中心运转经费项目</w:t>
      </w:r>
    </w:p>
    <w:p>
      <w:pPr>
        <w:pStyle w:val="18"/>
        <w:ind w:firstLine="964" w:firstLineChars="300"/>
        <w:jc w:val="left"/>
        <w:rPr>
          <w:rFonts w:hint="eastAsia" w:ascii="仿宋" w:hAnsi="仿宋" w:eastAsia="仿宋" w:cs="仿宋"/>
          <w:b/>
          <w:bCs/>
          <w:color w:val="auto"/>
          <w:sz w:val="28"/>
          <w:szCs w:val="28"/>
          <w:lang w:eastAsia="zh-CN"/>
        </w:rPr>
      </w:pPr>
      <w:r>
        <w:rPr>
          <w:rFonts w:ascii="仿宋" w:hAnsi="仿宋" w:eastAsia="仿宋" w:cs="仿宋"/>
          <w:b/>
          <w:bCs/>
          <w:color w:val="auto"/>
          <w:kern w:val="2"/>
          <w:sz w:val="32"/>
          <w:szCs w:val="32"/>
        </w:rPr>
        <w:t>制定单位（盖章）：</w:t>
      </w:r>
      <w:r>
        <w:rPr>
          <w:rFonts w:hint="eastAsia" w:ascii="仿宋" w:hAnsi="仿宋" w:eastAsia="仿宋" w:cs="仿宋"/>
          <w:b/>
          <w:bCs/>
          <w:color w:val="auto"/>
          <w:sz w:val="28"/>
          <w:szCs w:val="28"/>
          <w:lang w:val="en-US" w:eastAsia="zh-CN"/>
        </w:rPr>
        <w:t>中国共产党民丰县纪律检查委员会</w:t>
      </w:r>
    </w:p>
    <w:p>
      <w:pPr>
        <w:pStyle w:val="18"/>
        <w:ind w:firstLine="1449" w:firstLineChars="453"/>
        <w:jc w:val="left"/>
        <w:rPr>
          <w:rFonts w:hint="eastAsia" w:ascii="仿宋" w:hAnsi="仿宋" w:eastAsia="仿宋" w:cs="仿宋"/>
          <w:color w:val="auto"/>
          <w:sz w:val="32"/>
          <w:szCs w:val="32"/>
          <w:lang w:eastAsia="zh-CN"/>
        </w:rPr>
      </w:pPr>
    </w:p>
    <w:p>
      <w:pPr>
        <w:pStyle w:val="18"/>
        <w:ind w:firstLine="1449" w:firstLineChars="453"/>
        <w:jc w:val="left"/>
        <w:rPr>
          <w:rFonts w:hint="eastAsia" w:ascii="仿宋" w:hAnsi="仿宋" w:eastAsia="仿宋" w:cs="仿宋"/>
          <w:color w:val="auto"/>
          <w:sz w:val="32"/>
          <w:szCs w:val="32"/>
          <w:lang w:eastAsia="zh-CN"/>
        </w:rPr>
      </w:pPr>
    </w:p>
    <w:p>
      <w:pPr>
        <w:pStyle w:val="18"/>
        <w:ind w:firstLine="1449" w:firstLineChars="453"/>
        <w:jc w:val="left"/>
        <w:rPr>
          <w:rFonts w:hint="eastAsia" w:ascii="仿宋" w:hAnsi="仿宋" w:eastAsia="仿宋" w:cs="仿宋"/>
          <w:color w:val="auto"/>
          <w:sz w:val="32"/>
          <w:szCs w:val="32"/>
          <w:lang w:eastAsia="zh-CN"/>
        </w:rPr>
      </w:pPr>
    </w:p>
    <w:p>
      <w:pPr>
        <w:pStyle w:val="18"/>
        <w:ind w:firstLine="1777" w:firstLineChars="553"/>
        <w:jc w:val="left"/>
        <w:rPr>
          <w:rFonts w:hint="eastAsia" w:ascii="仿宋" w:hAnsi="仿宋" w:eastAsia="仿宋" w:cs="仿宋"/>
          <w:b/>
          <w:color w:val="auto"/>
          <w:sz w:val="32"/>
          <w:szCs w:val="32"/>
        </w:rPr>
      </w:pPr>
      <w:r>
        <w:rPr>
          <w:rFonts w:hint="eastAsia" w:ascii="仿宋" w:hAnsi="仿宋" w:eastAsia="仿宋" w:cs="仿宋"/>
          <w:b/>
          <w:color w:val="auto"/>
          <w:sz w:val="32"/>
          <w:szCs w:val="32"/>
        </w:rPr>
        <w:t>评估时间：</w:t>
      </w:r>
      <w:r>
        <w:rPr>
          <w:rFonts w:hint="eastAsia" w:ascii="仿宋" w:hAnsi="仿宋" w:eastAsia="仿宋" w:cs="仿宋"/>
          <w:b/>
          <w:color w:val="auto"/>
          <w:sz w:val="32"/>
          <w:szCs w:val="32"/>
          <w:lang w:val="en-US" w:eastAsia="zh-CN"/>
        </w:rPr>
        <w:t>2020</w:t>
      </w:r>
      <w:r>
        <w:rPr>
          <w:rFonts w:hint="eastAsia" w:ascii="仿宋" w:hAnsi="仿宋" w:eastAsia="仿宋" w:cs="仿宋"/>
          <w:b/>
          <w:color w:val="auto"/>
          <w:sz w:val="32"/>
          <w:szCs w:val="32"/>
        </w:rPr>
        <w:t>年</w:t>
      </w:r>
      <w:r>
        <w:rPr>
          <w:rFonts w:hint="eastAsia" w:ascii="仿宋" w:hAnsi="仿宋" w:eastAsia="仿宋" w:cs="仿宋"/>
          <w:b/>
          <w:color w:val="auto"/>
          <w:sz w:val="32"/>
          <w:szCs w:val="32"/>
          <w:lang w:val="en-US" w:eastAsia="zh-CN"/>
        </w:rPr>
        <w:t>4</w:t>
      </w:r>
      <w:r>
        <w:rPr>
          <w:rFonts w:hint="eastAsia" w:ascii="仿宋" w:hAnsi="仿宋" w:eastAsia="仿宋" w:cs="仿宋"/>
          <w:b/>
          <w:color w:val="auto"/>
          <w:sz w:val="32"/>
          <w:szCs w:val="32"/>
        </w:rPr>
        <w:t>月</w:t>
      </w:r>
      <w:r>
        <w:rPr>
          <w:rFonts w:hint="eastAsia" w:ascii="仿宋" w:hAnsi="仿宋" w:eastAsia="仿宋" w:cs="仿宋"/>
          <w:b/>
          <w:color w:val="auto"/>
          <w:sz w:val="32"/>
          <w:szCs w:val="32"/>
          <w:lang w:val="en-US" w:eastAsia="zh-CN"/>
        </w:rPr>
        <w:t>25</w:t>
      </w:r>
      <w:bookmarkStart w:id="0" w:name="_GoBack"/>
      <w:bookmarkEnd w:id="0"/>
      <w:r>
        <w:rPr>
          <w:rFonts w:hint="eastAsia" w:ascii="仿宋" w:hAnsi="仿宋" w:eastAsia="仿宋" w:cs="仿宋"/>
          <w:b/>
          <w:color w:val="auto"/>
          <w:sz w:val="32"/>
          <w:szCs w:val="32"/>
        </w:rPr>
        <w:t>日</w:t>
      </w:r>
    </w:p>
    <w:p>
      <w:pPr>
        <w:pStyle w:val="18"/>
        <w:jc w:val="left"/>
        <w:rPr>
          <w:rFonts w:hint="eastAsia" w:ascii="Times New Roman" w:hAnsi="Times New Roman" w:cs="Times New Roman"/>
          <w:color w:val="auto"/>
          <w:sz w:val="32"/>
          <w:szCs w:val="32"/>
        </w:rPr>
      </w:pP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一、评估对象概况</w:t>
      </w:r>
    </w:p>
    <w:p>
      <w:p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(一)立项依据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积极投入“不忘初心、牢记使命”主题教育，深化“打铁必须自身硬”专项行动，努力当好党和人民的忠诚卫士。大力推进专业化、标准化、规范化建设，加强学习和调查研究，增强纪法思维、辩证思维，提高执行政策水平、执纪执法水平、思想政治工作水平。根据中央纪委国家监委要求，开展全员培训，实行案件主办人和主审人制度，打牢审查调查干部的政治根基和业务功底。全要素使用调查措施，在反腐败斗争一线学真本领、练真功夫。坚持安全至上，紧盯审查调查安全各个环节，多形式、全覆盖开展监督检查，确保牢牢守住安全底线。</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十九届中央纪委四次全会工作报告将“统筹推进纪检监察体制改革，不断提高规范化法治化水平”纳入全年工作重点，并对强化上级纪委监委对下级纪委监委的领导，确保依规依纪依法正确行使纪检监察权，提出明确要求。</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rPr>
        <w:t>结合纪检监察体制改革对审查调查工作提出的新要求，切实加大信息整合、科技投入力度，为审查调查工作的顺利开展提供保证。注重发挥反腐败协调小组作用。在线索移送、指定管辖、检察机关提前介入、法检联席会商等环节建立联动协作机制，不断提高职务犯罪案件办理质量。加强与公安机关协作配合，在案件协查、搜查扣押等环节，借助公安机关职能优势，提升审查调查措施运用效力。探索构建“监督审查+信息化”的合成办案模式。依托大数据查询研判中心，加强信息技术与审查调查、监督检查等部门的融合互动。在初核阶段，通过大数据平台提供全面高效的信息支持；在审查调查阶段，提供电子数据调查等专业技术支撑，帮助突破案件，丰富证据种类；在追逃工作中，通过运用各类综合分析工具精准研判、指引方向；在讯问、搜查等环节中，同步做好录音录像、现场勘验等技术保障，确保规范执法。</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（二）立项背景</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深化国家监察体制改革是以习近平同志为核心的党中央作出的事关全局的重大政治体制改革，是强化党和国家自我监督的重大决策部署，是推动全面从严治党向纵深发展的战略举措，是夺取反腐斗争压倒性胜利的必然要求。</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审查调查是纪检监察机关的重要职责，是巩固反腐败斗争压倒性胜利的重要抓手。必须坚持稳中求进工作总基调，牢牢把握高质量发展这个目标，保持战略定力和政治定力，坚持依规依纪依法，积极稳妥推进审查调查工作不断向纵深发展。</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坚持严管和厚爱相结合，既严厉惩治，又关心爱护，实现审查调查的政治效果、纪法效果和社会效果有机统一。始终坚持惩治这一手不放松。聚焦中央重大决策部署的落实，严肃查处空泛表态、应景造势、敷衍塞责、出工不出力行为；聚焦侵害群众利益的各类行为，严肃查处教育医疗、环境保护、食品药品安全等方面存在的违纪违法问题，严查基层小官大贪和“微腐败”；聚焦腐败问题易发多发的重点领域，结合地方实际，严肃查处金融、环保、民政、水利、人防、工程建设、征地拆迁等领域以权谋私问题，保持高压态势不放松。深化运用监督执纪“四种形态”。在严惩极少数严重违纪违法分子的同时，重点在运用第一种形态上下功夫，对党员干部身上存在的问题做到早发现、早提醒、早处置。积极探索形态转换的运用规则，对欺骗组织、对抗审查调查的坚决查处，对知错改错、真心悔过的给机会、给出路，做到纪法约束有硬度、批评教育有力度、组织关怀有温度。认真落实容错纠错机制，及时为受到不实反映的干部澄清正名，保护干部干事创业的激情。</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按照</w:t>
      </w:r>
      <w:r>
        <w:rPr>
          <w:rFonts w:hint="eastAsia" w:ascii="仿宋" w:hAnsi="仿宋" w:eastAsia="仿宋" w:cs="仿宋"/>
          <w:color w:val="auto"/>
          <w:sz w:val="32"/>
          <w:szCs w:val="32"/>
        </w:rPr>
        <w:t>巩固反腐败斗争压倒性胜利</w:t>
      </w:r>
      <w:r>
        <w:rPr>
          <w:rFonts w:hint="eastAsia" w:ascii="仿宋" w:hAnsi="仿宋" w:eastAsia="仿宋" w:cs="仿宋"/>
          <w:color w:val="auto"/>
          <w:sz w:val="32"/>
          <w:szCs w:val="32"/>
          <w:lang w:val="en-US" w:eastAsia="zh-CN"/>
        </w:rPr>
        <w:t>的要求，为了全面从严党，着力净化党内政治生态，坚持挺纪在前，保持惩治腐败高压态势，提高办案查处效率。为了履职监督监察职责，特立审查调查中心运转经费项目。</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民丰县</w:t>
      </w:r>
      <w:r>
        <w:rPr>
          <w:rFonts w:hint="eastAsia" w:ascii="仿宋" w:hAnsi="仿宋" w:eastAsia="仿宋" w:cs="仿宋"/>
          <w:color w:val="auto"/>
          <w:sz w:val="32"/>
          <w:szCs w:val="32"/>
          <w:lang w:val="en-US" w:eastAsia="zh-CN"/>
        </w:rPr>
        <w:t>审查调查中心运转经费项目</w:t>
      </w:r>
      <w:r>
        <w:rPr>
          <w:rFonts w:hint="eastAsia" w:ascii="仿宋" w:hAnsi="仿宋" w:eastAsia="仿宋" w:cs="仿宋"/>
          <w:b w:val="0"/>
          <w:bCs w:val="0"/>
          <w:color w:val="auto"/>
          <w:sz w:val="32"/>
          <w:szCs w:val="32"/>
        </w:rPr>
        <w:t>涉</w:t>
      </w:r>
      <w:r>
        <w:rPr>
          <w:rFonts w:hint="eastAsia" w:ascii="仿宋" w:hAnsi="仿宋" w:eastAsia="仿宋" w:cs="仿宋"/>
          <w:color w:val="auto"/>
          <w:sz w:val="32"/>
          <w:szCs w:val="32"/>
        </w:rPr>
        <w:t>及的相关主体为</w:t>
      </w:r>
      <w:r>
        <w:rPr>
          <w:rFonts w:hint="eastAsia" w:ascii="仿宋" w:hAnsi="仿宋" w:eastAsia="仿宋" w:cs="仿宋"/>
          <w:color w:val="auto"/>
          <w:sz w:val="32"/>
          <w:szCs w:val="32"/>
          <w:lang w:val="en-US" w:eastAsia="zh-CN"/>
        </w:rPr>
        <w:t>中国共产党民丰县纪律检查委员会，民丰县财政局。其单位职责如下：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中国共产党民丰县纪律检查委员会</w:t>
      </w:r>
      <w:r>
        <w:rPr>
          <w:rFonts w:hint="eastAsia" w:ascii="仿宋" w:hAnsi="仿宋" w:eastAsia="仿宋" w:cs="仿宋"/>
          <w:color w:val="auto"/>
          <w:sz w:val="32"/>
          <w:szCs w:val="32"/>
        </w:rPr>
        <w:t>负责</w:t>
      </w:r>
      <w:r>
        <w:rPr>
          <w:rFonts w:hint="eastAsia" w:ascii="仿宋" w:hAnsi="仿宋" w:eastAsia="仿宋" w:cs="仿宋"/>
          <w:color w:val="auto"/>
          <w:sz w:val="32"/>
          <w:szCs w:val="32"/>
          <w:lang w:val="en-US" w:eastAsia="zh-CN"/>
        </w:rPr>
        <w:t>审查调查中心运转经费项目</w:t>
      </w:r>
      <w:r>
        <w:rPr>
          <w:rFonts w:hint="eastAsia" w:ascii="仿宋" w:hAnsi="仿宋" w:eastAsia="仿宋" w:cs="仿宋"/>
          <w:color w:val="auto"/>
          <w:sz w:val="32"/>
          <w:szCs w:val="32"/>
        </w:rPr>
        <w:t>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民丰</w:t>
      </w:r>
      <w:r>
        <w:rPr>
          <w:rFonts w:hint="eastAsia" w:ascii="仿宋" w:hAnsi="仿宋" w:eastAsia="仿宋" w:cs="仿宋"/>
          <w:color w:val="auto"/>
          <w:sz w:val="32"/>
          <w:szCs w:val="32"/>
        </w:rPr>
        <w:t>县财政局负责拨付</w:t>
      </w:r>
      <w:r>
        <w:rPr>
          <w:rFonts w:hint="eastAsia" w:ascii="仿宋" w:hAnsi="仿宋" w:eastAsia="仿宋" w:cs="仿宋"/>
          <w:color w:val="auto"/>
          <w:sz w:val="32"/>
          <w:szCs w:val="32"/>
          <w:lang w:val="en-US" w:eastAsia="zh-CN"/>
        </w:rPr>
        <w:t>审查调查中心运转经费</w:t>
      </w:r>
      <w:r>
        <w:rPr>
          <w:rFonts w:hint="eastAsia" w:ascii="仿宋" w:hAnsi="仿宋" w:eastAsia="仿宋" w:cs="仿宋"/>
          <w:color w:val="auto"/>
          <w:sz w:val="32"/>
          <w:szCs w:val="32"/>
        </w:rPr>
        <w:t>项目使用资金，并加强对工程建设资金使用的监督和管理。</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主要内容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按照全面从严党，着力净化党内政治生态的要求，坚持挺纪在前，保持惩治腐败高压态势；深化标本兼治，促进领导干部廉洁从政；大力开展巡视巡察；提高办案查处效率；全面致力精准扶贫；履职监督监察职责；需拨付150万资金保障中国共产党民丰县纪律检查委员会正常开展相关工作。</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预算情况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项目预算资金150万元，其中包括：办案人员生活保障经费，办案人员工作经费，保障日常工作经保障经费。</w:t>
      </w:r>
    </w:p>
    <w:p>
      <w:pPr>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rPr>
        <w:t>二、评估的方式方法</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评估工作组召开部门会议，对项目进行内部沟通，了解工作要求及重点工作内容，探讨制定工作程序及注意事项。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2.初步拟定事前评估工作方案</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按照</w:t>
      </w:r>
      <w:r>
        <w:rPr>
          <w:rFonts w:hint="eastAsia" w:ascii="仿宋" w:hAnsi="仿宋" w:eastAsia="仿宋" w:cs="仿宋"/>
          <w:color w:val="auto"/>
          <w:sz w:val="32"/>
          <w:szCs w:val="32"/>
          <w:lang w:val="en-US" w:eastAsia="zh-CN"/>
        </w:rPr>
        <w:t>中国共产党民丰县纪律检查委员会</w:t>
      </w:r>
      <w:r>
        <w:rPr>
          <w:rFonts w:hint="eastAsia" w:ascii="仿宋" w:hAnsi="仿宋" w:eastAsia="仿宋" w:cs="仿宋"/>
          <w:color w:val="auto"/>
          <w:sz w:val="32"/>
          <w:szCs w:val="32"/>
        </w:rPr>
        <w:t>工作计划，拟定该项目工作方案，依据建设内容明确工作时间节点，确保能够按照时间要求</w:t>
      </w:r>
      <w:r>
        <w:rPr>
          <w:rFonts w:hint="eastAsia" w:ascii="仿宋" w:hAnsi="仿宋" w:eastAsia="仿宋" w:cs="仿宋"/>
          <w:color w:val="auto"/>
          <w:sz w:val="32"/>
          <w:szCs w:val="32"/>
          <w:lang w:val="en-US" w:eastAsia="zh-CN"/>
        </w:rPr>
        <w:t>完成</w:t>
      </w:r>
      <w:r>
        <w:rPr>
          <w:rFonts w:hint="eastAsia" w:ascii="仿宋" w:hAnsi="仿宋" w:eastAsia="仿宋" w:cs="仿宋"/>
          <w:color w:val="auto"/>
          <w:sz w:val="32"/>
          <w:szCs w:val="32"/>
        </w:rPr>
        <w:t>工程建设内容。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3.组建专家组</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按照项目特点，联系相关专家，拟定专家评估会时间。对该项目业务方面还不能做出明确判断的，由行业专家待初步了解后确定。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与我</w:t>
      </w:r>
      <w:r>
        <w:rPr>
          <w:rFonts w:hint="eastAsia" w:ascii="仿宋" w:hAnsi="仿宋" w:eastAsia="仿宋" w:cs="仿宋"/>
          <w:color w:val="auto"/>
          <w:sz w:val="32"/>
          <w:szCs w:val="32"/>
          <w:lang w:val="en-US" w:eastAsia="zh-CN"/>
        </w:rPr>
        <w:t>县审查调查中心运转经费项目</w:t>
      </w:r>
      <w:r>
        <w:rPr>
          <w:rFonts w:hint="eastAsia" w:ascii="仿宋" w:hAnsi="仿宋" w:eastAsia="仿宋" w:cs="仿宋"/>
          <w:color w:val="auto"/>
          <w:sz w:val="32"/>
          <w:szCs w:val="32"/>
        </w:rPr>
        <w:t>负责人确定现场调研时间，明确工作内容，包括：需要准备的资料清单、项目方案、时间计划安排等。</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5.完成现场调研</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经过沟通，确定进行现场调研。现场调研完成的工作事项包括：</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（1）向项目单位下达《事前绩效现场评估通知单》；</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（2）评估工作组成员与项目单位对接，确定事前绩效评估工作具体配合人员，建立联系沟通渠道；</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）由工作组组长向项目单位介绍事前绩效评估工作、明确评估依据、评估任务、评估工作时间计划；</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）取得项目部分资料。</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本次绩效评估</w:t>
      </w:r>
      <w:r>
        <w:rPr>
          <w:rFonts w:hint="eastAsia" w:ascii="仿宋" w:hAnsi="仿宋" w:eastAsia="仿宋" w:cs="仿宋"/>
          <w:color w:val="auto"/>
          <w:sz w:val="32"/>
          <w:szCs w:val="32"/>
          <w:lang w:val="en-US" w:eastAsia="zh-CN"/>
        </w:rPr>
        <w:t>采用</w:t>
      </w:r>
      <w:r>
        <w:rPr>
          <w:rFonts w:hint="eastAsia" w:ascii="仿宋" w:hAnsi="仿宋" w:eastAsia="仿宋" w:cs="仿宋"/>
          <w:color w:val="auto"/>
          <w:sz w:val="32"/>
          <w:szCs w:val="32"/>
        </w:rPr>
        <w:t>召开部门会议</w:t>
      </w:r>
      <w:r>
        <w:rPr>
          <w:rFonts w:hint="eastAsia" w:ascii="仿宋" w:hAnsi="仿宋" w:eastAsia="仿宋" w:cs="仿宋"/>
          <w:color w:val="auto"/>
          <w:sz w:val="32"/>
          <w:szCs w:val="32"/>
          <w:lang w:val="en-US" w:eastAsia="zh-CN"/>
        </w:rPr>
        <w:t>和现场调研的评估方式，</w:t>
      </w:r>
      <w:r>
        <w:rPr>
          <w:rFonts w:hint="eastAsia" w:ascii="仿宋" w:hAnsi="仿宋" w:eastAsia="仿宋" w:cs="仿宋"/>
          <w:color w:val="auto"/>
          <w:sz w:val="32"/>
          <w:szCs w:val="32"/>
        </w:rPr>
        <w:t>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再组建专家组，由专家组成员对本项目出具实施意见</w:t>
      </w:r>
      <w:r>
        <w:rPr>
          <w:rFonts w:hint="eastAsia" w:ascii="仿宋" w:hAnsi="仿宋" w:eastAsia="仿宋" w:cs="仿宋"/>
          <w:color w:val="auto"/>
          <w:sz w:val="32"/>
          <w:szCs w:val="32"/>
        </w:rPr>
        <w:t>。</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rPr>
        <w:t>本次绩效采用“</w:t>
      </w:r>
      <w:r>
        <w:rPr>
          <w:rFonts w:hint="eastAsia" w:ascii="仿宋" w:hAnsi="仿宋" w:eastAsia="仿宋" w:cs="仿宋"/>
          <w:color w:val="auto"/>
          <w:sz w:val="32"/>
          <w:szCs w:val="32"/>
          <w:shd w:val="clear" w:color="auto" w:fill="FFFFFF"/>
        </w:rPr>
        <w:t>公众评判法”进行评估。</w:t>
      </w:r>
    </w:p>
    <w:p>
      <w:pPr>
        <w:ind w:firstLine="640" w:firstLineChars="200"/>
        <w:rPr>
          <w:rFonts w:hint="eastAsia" w:ascii="仿宋" w:hAnsi="仿宋" w:eastAsia="仿宋" w:cs="仿宋"/>
          <w:color w:val="auto"/>
          <w:sz w:val="32"/>
          <w:szCs w:val="32"/>
          <w:shd w:val="clear" w:color="auto" w:fill="FFFFFF"/>
          <w:lang w:val="en-US" w:eastAsia="zh-CN"/>
        </w:rPr>
      </w:pPr>
      <w:r>
        <w:rPr>
          <w:rFonts w:hint="eastAsia" w:ascii="仿宋" w:hAnsi="仿宋" w:eastAsia="仿宋" w:cs="仿宋"/>
          <w:color w:val="auto"/>
          <w:sz w:val="32"/>
          <w:szCs w:val="32"/>
          <w:shd w:val="clear" w:color="auto" w:fill="FFFFFF"/>
          <w:lang w:val="en-US" w:eastAsia="zh-CN"/>
        </w:rPr>
        <w:t>由于该项目属于</w:t>
      </w:r>
      <w:r>
        <w:rPr>
          <w:rFonts w:hint="eastAsia" w:ascii="仿宋" w:hAnsi="仿宋" w:eastAsia="仿宋" w:cs="仿宋"/>
          <w:color w:val="auto"/>
          <w:sz w:val="32"/>
          <w:szCs w:val="32"/>
          <w:highlight w:val="none"/>
          <w:lang w:val="en-US" w:eastAsia="zh-CN"/>
        </w:rPr>
        <w:t>经费类</w:t>
      </w:r>
      <w:r>
        <w:rPr>
          <w:rFonts w:hint="eastAsia" w:ascii="仿宋" w:hAnsi="仿宋" w:eastAsia="仿宋" w:cs="仿宋"/>
          <w:color w:val="auto"/>
          <w:sz w:val="32"/>
          <w:szCs w:val="32"/>
          <w:highlight w:val="none"/>
        </w:rPr>
        <w:t>项目</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主要</w:t>
      </w:r>
      <w:r>
        <w:rPr>
          <w:rFonts w:hint="eastAsia" w:ascii="仿宋" w:hAnsi="仿宋" w:eastAsia="仿宋" w:cs="仿宋"/>
          <w:color w:val="auto"/>
          <w:sz w:val="32"/>
          <w:szCs w:val="32"/>
          <w:lang w:val="en-US" w:eastAsia="zh-CN"/>
        </w:rPr>
        <w:t>为了全面从严党，着力净化党内政治生态，坚持挺纪在前，保持惩治腐败高压态势，提高办案查处效率</w:t>
      </w:r>
      <w:r>
        <w:rPr>
          <w:rFonts w:hint="eastAsia" w:ascii="仿宋" w:hAnsi="仿宋" w:eastAsia="仿宋" w:cs="仿宋"/>
          <w:color w:val="auto"/>
          <w:sz w:val="32"/>
          <w:szCs w:val="32"/>
          <w:shd w:val="clear" w:color="auto" w:fill="FFFFFF"/>
          <w:lang w:val="en-US" w:eastAsia="zh-CN"/>
        </w:rPr>
        <w:t>。</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首先，</w:t>
      </w:r>
      <w:r>
        <w:rPr>
          <w:rFonts w:hint="eastAsia" w:ascii="仿宋" w:hAnsi="仿宋" w:eastAsia="仿宋" w:cs="仿宋"/>
          <w:color w:val="auto"/>
          <w:sz w:val="32"/>
          <w:szCs w:val="32"/>
          <w:lang w:val="en-US" w:eastAsia="zh-CN"/>
        </w:rPr>
        <w:t>中国共产党民丰县纪律检查委员会</w:t>
      </w:r>
      <w:r>
        <w:rPr>
          <w:rFonts w:hint="eastAsia" w:ascii="仿宋" w:hAnsi="仿宋" w:eastAsia="仿宋" w:cs="仿宋"/>
          <w:color w:val="auto"/>
          <w:sz w:val="32"/>
          <w:szCs w:val="32"/>
          <w:shd w:val="clear" w:color="auto" w:fill="FFFFFF"/>
          <w:lang w:val="en-US" w:eastAsia="zh-CN"/>
        </w:rPr>
        <w:t>项目评估小组</w:t>
      </w:r>
      <w:r>
        <w:rPr>
          <w:rFonts w:hint="eastAsia" w:ascii="仿宋" w:hAnsi="仿宋" w:eastAsia="仿宋" w:cs="仿宋"/>
          <w:color w:val="auto"/>
          <w:sz w:val="32"/>
          <w:szCs w:val="32"/>
        </w:rPr>
        <w:t>召开部门会议，对项目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按照项目特点，对该项目业务方面做出明确判断。</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shd w:val="clear" w:color="auto" w:fill="FFFFFF"/>
        </w:rPr>
        <w:t>其次，根据</w:t>
      </w:r>
      <w:r>
        <w:rPr>
          <w:rFonts w:hint="eastAsia" w:ascii="仿宋" w:hAnsi="仿宋" w:eastAsia="仿宋" w:cs="仿宋"/>
          <w:color w:val="auto"/>
          <w:sz w:val="32"/>
          <w:szCs w:val="32"/>
          <w:shd w:val="clear" w:color="auto" w:fill="FFFFFF"/>
          <w:lang w:val="en-US" w:eastAsia="zh-CN"/>
        </w:rPr>
        <w:t>部门会议决定，进行问卷调查，实地了解情况，对项目可行性提供事实依据。</w:t>
      </w:r>
      <w:r>
        <w:rPr>
          <w:rFonts w:hint="eastAsia" w:ascii="仿宋" w:hAnsi="仿宋" w:eastAsia="仿宋" w:cs="仿宋"/>
          <w:color w:val="auto"/>
          <w:sz w:val="32"/>
          <w:szCs w:val="32"/>
        </w:rPr>
        <w:t>由工作组</w:t>
      </w:r>
      <w:r>
        <w:rPr>
          <w:rFonts w:hint="eastAsia" w:ascii="仿宋" w:hAnsi="仿宋" w:eastAsia="仿宋" w:cs="仿宋"/>
          <w:color w:val="auto"/>
          <w:sz w:val="32"/>
          <w:szCs w:val="32"/>
          <w:lang w:val="en-US" w:eastAsia="zh-CN"/>
        </w:rPr>
        <w:t>成员记录各层级工作人员和相关人士的情况介绍和意见</w:t>
      </w:r>
      <w:r>
        <w:rPr>
          <w:rFonts w:hint="eastAsia" w:ascii="仿宋" w:hAnsi="仿宋" w:eastAsia="仿宋" w:cs="仿宋"/>
          <w:color w:val="auto"/>
          <w:sz w:val="32"/>
          <w:szCs w:val="32"/>
        </w:rPr>
        <w:t>。</w:t>
      </w:r>
    </w:p>
    <w:p>
      <w:pPr>
        <w:numPr>
          <w:ilvl w:val="0"/>
          <w:numId w:val="1"/>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评估人员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涉密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中国共产党民丰县纪律检查委员会组成评估小组，对该项目情况进行全方位调查和评估，确保评估工作公开、透明，为审查调查中心运转经费项目工作的开展提供经验和依据。</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三、评估内容</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（一）相关性</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right="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审查调查工作是纪委监委的一线办案部门，与其他单位部门接触多，特别是与涉案人员正面交锋，一言一行关系着纪检监察干部的权威和形象。因此，审查调查工作人员要内强素质外塑形象，不断加强学习党的理论知识，提升自己的宗旨意识、思想道德素质，树立群众意识和服务群众的思想，消除特权思想，保持谦逊谨慎和艰苦奋斗的作风，养成自学、结合工作和培训认真学习业务知识的习惯，努力加强自身业务水平，提升自己业务素质。对纪律、法律心存敬畏，工作中重程序、守纪律、讲方法，真正做到忠诚坚定、担当尽责、遵纪守法、清正廉洁、业务纯熟、本领高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审</w:t>
      </w:r>
      <w:r>
        <w:rPr>
          <w:rFonts w:hint="eastAsia" w:ascii="仿宋" w:hAnsi="仿宋" w:eastAsia="仿宋" w:cs="仿宋"/>
          <w:color w:val="auto"/>
          <w:sz w:val="32"/>
          <w:szCs w:val="32"/>
        </w:rPr>
        <w:t>查调查工作政治属性强、社会关注度高，必须提高政治站位，坚定不移把讲政治的要求落实到审查调查工作的全过程。坚持党对反腐败工作的全过程全方位领导。根据纪委协助党委推进全面从严治党的职责定位，结合工作实际，就党委对反腐败工作集中统一部署、听取反腐败工作重要事项和重大案件报告、加强反腐败协调、严格审查调查措施使用审批等，作出明确规定，实现党委对反腐败工作的全过程、全方位、全覆盖领导。严格执行重要事项请示报告制度，对重要线索处置、重要案件查办，及时向党委报告，既报告结果也报告过程。落实审查调查以上级纪委监委领导为主的要求。严格按照有关规定和时限要求，认真履行重要问题和事项向上级纪委监委报批报备程序。对审查调查工作中的重要问题，及时向上级纪委监委请示报告。加强对派驻机构审查调查工作的领导，落实副书记、常委分工负责制，有效解决派驻机构审查调查职能弱化的问题。</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1.将项目预期目标和成本预算与主管部门历史数据对比、与计划对比、与行业平均水平对比，比较是否有明显上升或下降，是否存在异常。通过分析找出差异原因，对造成不利的因素提出解决措施。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资金的合理使用是按进度计划顺利实施的保障，我单位将做好项目成本的控制和资金使用，确保提高综合效益。在项目的实施过程中，严格遵照合同条款中有关付款的条文，根据要求施工单位需提供必要的付款依据，并由监理、主管部门审核。</w:t>
      </w:r>
    </w:p>
    <w:p>
      <w:pPr>
        <w:pStyle w:val="5"/>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该项目制定的资金保障</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和成本预算</w:t>
      </w:r>
      <w:r>
        <w:rPr>
          <w:rFonts w:hint="eastAsia" w:ascii="仿宋" w:hAnsi="仿宋" w:eastAsia="仿宋" w:cs="仿宋"/>
          <w:color w:val="auto"/>
          <w:sz w:val="32"/>
          <w:szCs w:val="32"/>
          <w:lang w:val="en-US" w:eastAsia="zh-CN"/>
        </w:rPr>
        <w:t>管理</w:t>
      </w:r>
      <w:r>
        <w:rPr>
          <w:rFonts w:hint="eastAsia" w:ascii="仿宋" w:hAnsi="仿宋" w:eastAsia="仿宋" w:cs="仿宋"/>
          <w:color w:val="auto"/>
          <w:sz w:val="32"/>
          <w:szCs w:val="32"/>
        </w:rPr>
        <w:t>目标明确，</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科学合理，项目</w:t>
      </w:r>
      <w:r>
        <w:rPr>
          <w:rFonts w:hint="eastAsia" w:ascii="仿宋" w:hAnsi="仿宋" w:eastAsia="仿宋" w:cs="仿宋"/>
          <w:color w:val="auto"/>
          <w:sz w:val="32"/>
          <w:szCs w:val="32"/>
          <w:lang w:val="en-US" w:eastAsia="zh-CN"/>
        </w:rPr>
        <w:t>实施</w:t>
      </w:r>
      <w:r>
        <w:rPr>
          <w:rFonts w:hint="eastAsia" w:ascii="仿宋" w:hAnsi="仿宋" w:eastAsia="仿宋" w:cs="仿宋"/>
          <w:color w:val="auto"/>
          <w:sz w:val="32"/>
          <w:szCs w:val="32"/>
        </w:rPr>
        <w:t>具有可操作性，</w:t>
      </w:r>
      <w:r>
        <w:rPr>
          <w:rFonts w:hint="eastAsia" w:ascii="仿宋" w:hAnsi="仿宋" w:eastAsia="仿宋" w:cs="仿宋"/>
          <w:color w:val="auto"/>
          <w:sz w:val="32"/>
          <w:szCs w:val="32"/>
          <w:lang w:val="en-US" w:eastAsia="zh-CN"/>
        </w:rPr>
        <w:t>预期绩效目标可以实现</w:t>
      </w:r>
      <w:r>
        <w:rPr>
          <w:rFonts w:hint="eastAsia" w:ascii="仿宋" w:hAnsi="仿宋" w:eastAsia="仿宋" w:cs="仿宋"/>
          <w:color w:val="auto"/>
          <w:sz w:val="32"/>
          <w:szCs w:val="32"/>
        </w:rPr>
        <w:t>。</w:t>
      </w:r>
    </w:p>
    <w:p>
      <w:pPr>
        <w:widowControl w:val="0"/>
        <w:numPr>
          <w:ilvl w:val="0"/>
          <w:numId w:val="2"/>
        </w:numPr>
        <w:spacing w:beforeLines="0" w:afterLines="0"/>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实施方案的有效性</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1.资金</w:t>
      </w:r>
      <w:r>
        <w:rPr>
          <w:rStyle w:val="12"/>
          <w:rFonts w:hint="eastAsia" w:ascii="仿宋" w:hAnsi="仿宋" w:eastAsia="仿宋" w:cs="仿宋"/>
          <w:b w:val="0"/>
          <w:color w:val="auto"/>
          <w:spacing w:val="-4"/>
          <w:sz w:val="32"/>
          <w:szCs w:val="32"/>
        </w:rPr>
        <w:t>管理制度建设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rPr>
        <w:t>自本项目启动开始，实施单位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在项目实施期间，实施单位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切实做到：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（1）坚持一支笔和项目重大开支集体讨论制定，项目支出报分管局领导同意后，再报分管局领导例会审议通过，以会议纪要为依据方可支付。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（2）实行项目资金公告公示制度，对资金年度使用计划、扶持对象、支持项目、补助标准、资金来源及额度等信息按规定程序进行公告、公示，接受社会监督。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（3）所有开支有详细明细和台账，确因客观原因无明细的附说明。</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Style w:val="12"/>
          <w:rFonts w:hint="eastAsia" w:ascii="仿宋" w:hAnsi="仿宋" w:eastAsia="仿宋" w:cs="仿宋"/>
          <w:b w:val="0"/>
          <w:color w:val="auto"/>
          <w:sz w:val="32"/>
          <w:szCs w:val="32"/>
        </w:rPr>
        <w:t>（4）按要求向财政上报资金使用进度情况反馈。</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2.</w:t>
      </w:r>
      <w:r>
        <w:rPr>
          <w:rStyle w:val="12"/>
          <w:rFonts w:hint="eastAsia" w:ascii="仿宋" w:hAnsi="仿宋" w:eastAsia="仿宋" w:cs="仿宋"/>
          <w:b w:val="0"/>
          <w:color w:val="auto"/>
          <w:spacing w:val="-4"/>
          <w:sz w:val="32"/>
          <w:szCs w:val="32"/>
        </w:rPr>
        <w:t>项目管理制度建设</w:t>
      </w:r>
    </w:p>
    <w:p>
      <w:pPr>
        <w:ind w:firstLine="624" w:firstLineChars="200"/>
        <w:rPr>
          <w:rFonts w:hint="eastAsia" w:ascii="仿宋" w:hAnsi="仿宋" w:eastAsia="仿宋" w:cs="仿宋"/>
          <w:color w:val="auto"/>
          <w:sz w:val="32"/>
          <w:szCs w:val="32"/>
        </w:rPr>
      </w:pPr>
      <w:r>
        <w:rPr>
          <w:rStyle w:val="12"/>
          <w:rFonts w:hint="eastAsia" w:ascii="仿宋" w:hAnsi="仿宋" w:eastAsia="仿宋" w:cs="仿宋"/>
          <w:b w:val="0"/>
          <w:color w:val="auto"/>
          <w:spacing w:val="-4"/>
          <w:sz w:val="32"/>
          <w:szCs w:val="32"/>
          <w:shd w:val="clear" w:color="FFFFFF" w:fill="FFFFFF"/>
        </w:rPr>
        <w:t>为了建立投资责任约束机制，规范项目法人的行为，明确其责、权、利，提高投资效益，依据《中华人民共和国公司法》、《关于实行建设项目法人责任制的暂行规定》等相关法律法规规定，该项目实行项目法人制</w:t>
      </w:r>
      <w:r>
        <w:rPr>
          <w:rFonts w:hint="eastAsia" w:ascii="仿宋" w:hAnsi="仿宋" w:eastAsia="仿宋" w:cs="仿宋"/>
          <w:color w:val="auto"/>
          <w:sz w:val="32"/>
          <w:szCs w:val="32"/>
        </w:rPr>
        <w:t>。</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项目管理按照业务分工由具体负责人对项目所对应的任务完成情况进行总结，对项目进度进行反馈。涉及资金使用内容，坚持项目重大开支集体讨论制定，并做好会议纪要。超过1万元以上的项目支出报分管局领导同意后，再报分管局领导例会审议通过，以会议纪要为依据方可支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lang w:val="en-US" w:eastAsia="zh-CN"/>
        </w:rPr>
        <w:t>3.</w:t>
      </w:r>
      <w:r>
        <w:rPr>
          <w:rStyle w:val="12"/>
          <w:rFonts w:hint="eastAsia" w:ascii="仿宋" w:hAnsi="仿宋" w:eastAsia="仿宋" w:cs="仿宋"/>
          <w:b w:val="0"/>
          <w:color w:val="auto"/>
          <w:sz w:val="32"/>
          <w:szCs w:val="32"/>
        </w:rPr>
        <w:t>日常检查监督管理</w:t>
      </w:r>
    </w:p>
    <w:p>
      <w:pPr>
        <w:pStyle w:val="5"/>
        <w:numPr>
          <w:ilvl w:val="0"/>
          <w:numId w:val="0"/>
        </w:numPr>
        <w:ind w:firstLine="640" w:firstLineChars="200"/>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lang w:eastAsia="zh-CN"/>
        </w:rPr>
        <w:t>（</w:t>
      </w:r>
      <w:r>
        <w:rPr>
          <w:rStyle w:val="12"/>
          <w:rFonts w:hint="eastAsia" w:ascii="仿宋" w:hAnsi="仿宋" w:eastAsia="仿宋" w:cs="仿宋"/>
          <w:b w:val="0"/>
          <w:color w:val="auto"/>
          <w:sz w:val="32"/>
          <w:szCs w:val="32"/>
          <w:lang w:val="en-US" w:eastAsia="zh-CN"/>
        </w:rPr>
        <w:t>1）</w:t>
      </w:r>
      <w:r>
        <w:rPr>
          <w:rStyle w:val="12"/>
          <w:rFonts w:hint="eastAsia" w:ascii="仿宋" w:hAnsi="仿宋" w:eastAsia="仿宋" w:cs="仿宋"/>
          <w:b w:val="0"/>
          <w:color w:val="auto"/>
          <w:sz w:val="32"/>
          <w:szCs w:val="32"/>
        </w:rPr>
        <w:t>强化项目资金管理。项目资金实行专款、专</w:t>
      </w:r>
      <w:r>
        <w:rPr>
          <w:rStyle w:val="12"/>
          <w:rFonts w:hint="eastAsia" w:ascii="仿宋" w:hAnsi="仿宋" w:eastAsia="仿宋" w:cs="仿宋"/>
          <w:b w:val="0"/>
          <w:color w:val="auto"/>
          <w:sz w:val="32"/>
          <w:szCs w:val="32"/>
          <w:lang w:val="en-US" w:eastAsia="zh-CN"/>
        </w:rPr>
        <w:t>账</w:t>
      </w:r>
      <w:r>
        <w:rPr>
          <w:rStyle w:val="12"/>
          <w:rFonts w:hint="eastAsia" w:ascii="仿宋" w:hAnsi="仿宋" w:eastAsia="仿宋" w:cs="仿宋"/>
          <w:b w:val="0"/>
          <w:color w:val="auto"/>
          <w:sz w:val="32"/>
          <w:szCs w:val="32"/>
        </w:rPr>
        <w:t>、专人管理，并严格按工程预算进行列支，坚决杜绝挤占、挪用。充分发挥审计、监察及投资和管理部门的作用，加强对资金使用的检查和监督，同时接受有关部门的检查、监督。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Style w:val="12"/>
          <w:rFonts w:hint="eastAsia" w:ascii="仿宋" w:hAnsi="仿宋" w:eastAsia="仿宋" w:cs="仿宋"/>
          <w:b w:val="0"/>
          <w:color w:val="auto"/>
          <w:sz w:val="32"/>
          <w:szCs w:val="32"/>
          <w:lang w:eastAsia="zh-CN"/>
        </w:rPr>
        <w:t>（</w:t>
      </w:r>
      <w:r>
        <w:rPr>
          <w:rStyle w:val="12"/>
          <w:rFonts w:hint="eastAsia" w:ascii="仿宋" w:hAnsi="仿宋" w:eastAsia="仿宋" w:cs="仿宋"/>
          <w:b w:val="0"/>
          <w:color w:val="auto"/>
          <w:sz w:val="32"/>
          <w:szCs w:val="32"/>
          <w:lang w:val="en-US" w:eastAsia="zh-CN"/>
        </w:rPr>
        <w:t>2）</w:t>
      </w:r>
      <w:r>
        <w:rPr>
          <w:rStyle w:val="12"/>
          <w:rFonts w:hint="eastAsia" w:ascii="仿宋" w:hAnsi="仿宋" w:eastAsia="仿宋" w:cs="仿宋"/>
          <w:b w:val="0"/>
          <w:color w:val="auto"/>
          <w:sz w:val="32"/>
          <w:szCs w:val="32"/>
        </w:rPr>
        <w:t>搞好项目档案管理工作。项目完成后，要从资金使用、综合效益等方面进行自检、自验，按有关规定收集、整理、归档，完善项目档案并制定档案管理制度</w:t>
      </w:r>
      <w:r>
        <w:rPr>
          <w:rStyle w:val="12"/>
          <w:rFonts w:hint="eastAsia" w:ascii="仿宋" w:hAnsi="仿宋" w:eastAsia="仿宋" w:cs="仿宋"/>
          <w:b w:val="0"/>
          <w:color w:val="auto"/>
          <w:spacing w:val="-4"/>
          <w:sz w:val="32"/>
          <w:szCs w:val="32"/>
          <w:shd w:val="clear" w:color="FFFFFF" w:fill="FFFFFF"/>
        </w:rPr>
        <w:t>。</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该项目制定的实施方案目标任务明确，经费预算科学合理，项目具有可操作性，项目方案有效、可行。</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（四）预期绩效的可持续性</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审查调查中心运转经费项目办案所产生的社会效益以及</w:t>
      </w:r>
      <w:r>
        <w:rPr>
          <w:rFonts w:hint="eastAsia" w:ascii="仿宋" w:hAnsi="仿宋" w:eastAsia="仿宋" w:cs="仿宋"/>
          <w:color w:val="auto"/>
          <w:sz w:val="32"/>
          <w:szCs w:val="32"/>
        </w:rPr>
        <w:t>政府公信力</w:t>
      </w:r>
      <w:r>
        <w:rPr>
          <w:rFonts w:hint="eastAsia" w:ascii="仿宋" w:hAnsi="仿宋" w:eastAsia="仿宋" w:cs="仿宋"/>
          <w:color w:val="auto"/>
          <w:sz w:val="32"/>
          <w:szCs w:val="32"/>
          <w:lang w:val="en-US" w:eastAsia="zh-CN"/>
        </w:rPr>
        <w:t>都具有</w:t>
      </w:r>
      <w:r>
        <w:rPr>
          <w:rFonts w:hint="eastAsia" w:ascii="仿宋" w:hAnsi="仿宋" w:eastAsia="仿宋" w:cs="仿宋"/>
          <w:color w:val="auto"/>
          <w:sz w:val="32"/>
          <w:szCs w:val="32"/>
        </w:rPr>
        <w:t>持续</w:t>
      </w:r>
      <w:r>
        <w:rPr>
          <w:rFonts w:hint="eastAsia" w:ascii="仿宋" w:hAnsi="仿宋" w:eastAsia="仿宋" w:cs="仿宋"/>
          <w:color w:val="auto"/>
          <w:sz w:val="32"/>
          <w:szCs w:val="32"/>
          <w:lang w:val="en-US" w:eastAsia="zh-CN"/>
        </w:rPr>
        <w:t>性。</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rPr>
        <w:t>自本项目启动开始，实施单位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r>
        <w:rPr>
          <w:rFonts w:hint="eastAsia" w:ascii="仿宋" w:hAnsi="仿宋" w:eastAsia="仿宋" w:cs="仿宋"/>
          <w:color w:val="auto"/>
          <w:sz w:val="32"/>
          <w:szCs w:val="32"/>
          <w:lang w:val="en-US" w:eastAsia="zh-CN"/>
        </w:rPr>
        <w:t>同时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该项目</w:t>
      </w:r>
      <w:r>
        <w:rPr>
          <w:rFonts w:hint="eastAsia" w:ascii="仿宋" w:hAnsi="仿宋" w:eastAsia="仿宋" w:cs="仿宋"/>
          <w:color w:val="auto"/>
          <w:sz w:val="32"/>
          <w:szCs w:val="32"/>
          <w:lang w:val="en-US" w:eastAsia="zh-CN"/>
        </w:rPr>
        <w:t>将</w:t>
      </w:r>
      <w:r>
        <w:rPr>
          <w:rStyle w:val="12"/>
          <w:rFonts w:hint="eastAsia" w:ascii="仿宋" w:hAnsi="仿宋" w:eastAsia="仿宋" w:cs="仿宋"/>
          <w:b w:val="0"/>
          <w:color w:val="auto"/>
          <w:sz w:val="32"/>
          <w:szCs w:val="32"/>
        </w:rPr>
        <w:t>项目资金实行专款、专</w:t>
      </w:r>
      <w:r>
        <w:rPr>
          <w:rStyle w:val="12"/>
          <w:rFonts w:hint="eastAsia" w:ascii="仿宋" w:hAnsi="仿宋" w:eastAsia="仿宋" w:cs="仿宋"/>
          <w:b w:val="0"/>
          <w:color w:val="auto"/>
          <w:sz w:val="32"/>
          <w:szCs w:val="32"/>
          <w:lang w:val="en-US" w:eastAsia="zh-CN"/>
        </w:rPr>
        <w:t>账</w:t>
      </w:r>
      <w:r>
        <w:rPr>
          <w:rStyle w:val="12"/>
          <w:rFonts w:hint="eastAsia" w:ascii="仿宋" w:hAnsi="仿宋" w:eastAsia="仿宋" w:cs="仿宋"/>
          <w:b w:val="0"/>
          <w:color w:val="auto"/>
          <w:sz w:val="32"/>
          <w:szCs w:val="32"/>
        </w:rPr>
        <w:t>、专人管理，并严格按工程预算进行列支，坚决杜绝挤占、挪用</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因此</w:t>
      </w:r>
      <w:r>
        <w:rPr>
          <w:rFonts w:hint="eastAsia" w:ascii="仿宋" w:hAnsi="仿宋" w:eastAsia="仿宋" w:cs="仿宋"/>
          <w:color w:val="auto"/>
          <w:sz w:val="32"/>
          <w:szCs w:val="32"/>
          <w:lang w:eastAsia="zh-CN"/>
        </w:rPr>
        <w:t>不存在财政资金重复投入风险</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通过对审查调查中心运转经费项目评估，该项目符合民丰县教育发展长期规划，符合民丰县</w:t>
      </w:r>
      <w:r>
        <w:rPr>
          <w:rFonts w:hint="eastAsia" w:ascii="仿宋" w:hAnsi="仿宋" w:eastAsia="仿宋" w:cs="仿宋"/>
          <w:color w:val="auto"/>
          <w:sz w:val="32"/>
          <w:szCs w:val="32"/>
        </w:rPr>
        <w:t>巩固反腐败斗争</w:t>
      </w:r>
      <w:r>
        <w:rPr>
          <w:rFonts w:hint="eastAsia" w:ascii="仿宋" w:hAnsi="仿宋" w:eastAsia="仿宋" w:cs="仿宋"/>
          <w:color w:val="auto"/>
          <w:sz w:val="32"/>
          <w:szCs w:val="32"/>
          <w:lang w:val="en-US" w:eastAsia="zh-CN"/>
        </w:rPr>
        <w:t>和经济发展需要</w:t>
      </w:r>
      <w:r>
        <w:rPr>
          <w:rFonts w:hint="eastAsia" w:ascii="仿宋" w:hAnsi="仿宋" w:eastAsia="仿宋" w:cs="仿宋"/>
          <w:color w:val="auto"/>
          <w:sz w:val="32"/>
          <w:szCs w:val="32"/>
          <w:lang w:eastAsia="zh-CN"/>
        </w:rPr>
        <w:t>，可以实施。</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五、评估的相关建议</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绩效目标制订有待精细化</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预算的制定应与项目目标相匹配。从项目总体看，项目预算与目标是匹配的。项目预算以项目相应工程量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工</w:t>
      </w:r>
      <w:r>
        <w:rPr>
          <w:rFonts w:hint="eastAsia" w:ascii="仿宋" w:hAnsi="仿宋" w:eastAsia="仿宋" w:cs="仿宋"/>
          <w:color w:val="auto"/>
          <w:sz w:val="32"/>
          <w:szCs w:val="32"/>
          <w:lang w:val="en-US" w:eastAsia="zh-CN"/>
        </w:rPr>
        <w:t>作</w:t>
      </w:r>
      <w:r>
        <w:rPr>
          <w:rFonts w:hint="eastAsia" w:ascii="仿宋" w:hAnsi="仿宋" w:eastAsia="仿宋" w:cs="仿宋"/>
          <w:color w:val="auto"/>
          <w:sz w:val="32"/>
          <w:szCs w:val="32"/>
          <w:lang w:eastAsia="zh-CN"/>
        </w:rPr>
        <w:t>量。</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六、其他需要说明的问题</w:t>
      </w:r>
    </w:p>
    <w:p>
      <w:pPr>
        <w:pStyle w:val="5"/>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审查调查中心运转经费项目</w:t>
      </w:r>
      <w:r>
        <w:rPr>
          <w:rFonts w:hint="eastAsia" w:ascii="仿宋" w:hAnsi="仿宋" w:eastAsia="仿宋" w:cs="仿宋"/>
          <w:color w:val="auto"/>
          <w:sz w:val="32"/>
          <w:szCs w:val="32"/>
        </w:rPr>
        <w:t>应充分考虑周边区域内单位部门数量、经济发展状况、纪律、法律情况。因此，在预算安排和项目实施时应充分考虑项目历史的影响。</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七、附件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（一）相关背景及发展规划</w:t>
      </w:r>
    </w:p>
    <w:p>
      <w:pPr>
        <w:ind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highlight w:val="none"/>
          <w:lang w:val="en-US" w:eastAsia="zh-CN" w:bidi="ar-SA"/>
        </w:rPr>
        <w:t>1、</w:t>
      </w:r>
      <w:r>
        <w:rPr>
          <w:rFonts w:hint="eastAsia" w:ascii="仿宋" w:hAnsi="仿宋" w:eastAsia="仿宋" w:cs="仿宋"/>
          <w:color w:val="auto"/>
          <w:sz w:val="32"/>
          <w:szCs w:val="32"/>
        </w:rPr>
        <w:t>《中国共产党党员领导干部廉洁从政若干准则》</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w:t>
      </w:r>
      <w:r>
        <w:rPr>
          <w:rFonts w:hint="eastAsia" w:ascii="仿宋" w:hAnsi="仿宋" w:eastAsia="仿宋" w:cs="仿宋"/>
          <w:color w:val="auto"/>
          <w:sz w:val="32"/>
          <w:szCs w:val="32"/>
        </w:rPr>
        <w:t>《中国共产党纪律处分条例</w:t>
      </w:r>
      <w:r>
        <w:rPr>
          <w:rFonts w:hint="eastAsia" w:ascii="仿宋" w:hAnsi="仿宋" w:eastAsia="仿宋" w:cs="仿宋"/>
          <w:color w:val="auto"/>
          <w:kern w:val="2"/>
          <w:sz w:val="32"/>
          <w:szCs w:val="32"/>
          <w:lang w:val="en-US" w:eastAsia="zh-CN" w:bidi="ar-SA"/>
        </w:rPr>
        <w:t>》</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w:t>
      </w:r>
      <w:r>
        <w:rPr>
          <w:rFonts w:hint="eastAsia" w:ascii="仿宋" w:hAnsi="仿宋" w:eastAsia="仿宋" w:cs="仿宋"/>
          <w:color w:val="auto"/>
          <w:sz w:val="32"/>
          <w:szCs w:val="32"/>
        </w:rPr>
        <w:t>《关于实行党风廉政建设责任制的规定》</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中发（2010）19号</w:t>
      </w:r>
      <w:r>
        <w:rPr>
          <w:rFonts w:hint="eastAsia" w:ascii="仿宋" w:hAnsi="仿宋" w:eastAsia="仿宋" w:cs="仿宋"/>
          <w:color w:val="auto"/>
          <w:sz w:val="32"/>
          <w:szCs w:val="32"/>
          <w:lang w:eastAsia="zh-CN"/>
        </w:rPr>
        <w:t>）</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w:t>
      </w:r>
      <w:r>
        <w:rPr>
          <w:rFonts w:hint="eastAsia" w:ascii="仿宋" w:hAnsi="仿宋" w:eastAsia="仿宋" w:cs="仿宋"/>
          <w:color w:val="auto"/>
          <w:sz w:val="32"/>
          <w:szCs w:val="32"/>
        </w:rPr>
        <w:t>《关于贯彻落实习近平总书记重要指示精神集中整治形式主义、官僚主义的工作意见</w:t>
      </w:r>
      <w:r>
        <w:rPr>
          <w:rFonts w:hint="eastAsia" w:ascii="仿宋" w:hAnsi="仿宋" w:eastAsia="仿宋" w:cs="仿宋"/>
          <w:color w:val="auto"/>
          <w:sz w:val="32"/>
          <w:szCs w:val="32"/>
          <w:lang w:eastAsia="zh-CN"/>
        </w:rPr>
        <w:t>》</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sz w:val="32"/>
          <w:szCs w:val="32"/>
          <w:lang w:val="en-US" w:eastAsia="zh-CN"/>
        </w:rPr>
        <w:t>5、</w:t>
      </w:r>
      <w:r>
        <w:rPr>
          <w:rFonts w:hint="eastAsia" w:ascii="仿宋" w:hAnsi="仿宋" w:eastAsia="仿宋" w:cs="仿宋"/>
          <w:color w:val="auto"/>
          <w:kern w:val="2"/>
          <w:sz w:val="32"/>
          <w:szCs w:val="32"/>
          <w:lang w:val="en-US" w:eastAsia="zh-CN" w:bidi="ar-SA"/>
        </w:rPr>
        <w:t>中国共产党民丰县纪律检查委员会主要负责以下工作:</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（1）检查国家行政机关在遵守和执行法律、法规和人民政府的决定、命令中的问题;</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（2）受理对国家行政机关及其公务员和国家行政机关任命的其他人员违反行政纪律行为的控告、检举;</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（3）调查处理国家行政机关及其公务员和国家行政机关任命的其他人员违反行政纪律的行为;</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（4）受理国家行政机关公务员和国家行政机关任命的其他人员不服主管行政机关给予处分决定的申诉，以及法律、行政法规规定的其他由监察机关受理的申诉;</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（5）组织协调、检查指导政务公开工作和纠正损害群众利益的不正之风工作;</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（6）法律、行政法规规定由监察机关履行的其他职责。</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（二）立项申请材料</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w:t>
      </w:r>
      <w:r>
        <w:rPr>
          <w:rFonts w:hint="eastAsia" w:ascii="仿宋" w:hAnsi="仿宋" w:eastAsia="仿宋" w:cs="仿宋"/>
          <w:color w:val="auto"/>
          <w:sz w:val="32"/>
          <w:szCs w:val="32"/>
          <w:lang w:val="en-US" w:eastAsia="zh-CN"/>
        </w:rPr>
        <w:t>中国共产党民丰县纪律检查委员会工作</w:t>
      </w:r>
      <w:r>
        <w:rPr>
          <w:rFonts w:hint="eastAsia" w:ascii="仿宋" w:hAnsi="仿宋" w:eastAsia="仿宋" w:cs="仿宋"/>
          <w:color w:val="auto"/>
          <w:kern w:val="2"/>
          <w:sz w:val="32"/>
          <w:szCs w:val="32"/>
          <w:lang w:val="en-US" w:eastAsia="zh-CN" w:bidi="ar-SA"/>
        </w:rPr>
        <w:t>计划》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2.《审查调查行动计划》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3.《审查调查工作人员名单》</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预算申请材料</w:t>
      </w:r>
    </w:p>
    <w:p>
      <w:pPr>
        <w:pStyle w:val="5"/>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审查调查中心运转经费项目</w:t>
      </w:r>
      <w:r>
        <w:rPr>
          <w:rFonts w:hint="eastAsia" w:ascii="仿宋" w:hAnsi="仿宋" w:eastAsia="仿宋" w:cs="仿宋"/>
          <w:color w:val="auto"/>
          <w:kern w:val="2"/>
          <w:sz w:val="32"/>
          <w:szCs w:val="32"/>
          <w:lang w:eastAsia="zh-CN"/>
        </w:rPr>
        <w:t>预算明细表</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相关管理制度</w:t>
      </w:r>
    </w:p>
    <w:p>
      <w:pPr>
        <w:pStyle w:val="3"/>
        <w:ind w:left="0" w:leftChars="0" w:firstLine="640" w:firstLineChars="200"/>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《财政预算资金拨付管理暂行办法》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中国共产党民丰县纪律检查委员会</w:t>
      </w:r>
      <w:r>
        <w:rPr>
          <w:rFonts w:hint="eastAsia" w:ascii="仿宋" w:hAnsi="仿宋" w:eastAsia="仿宋" w:cs="仿宋"/>
          <w:color w:val="auto"/>
          <w:sz w:val="32"/>
          <w:szCs w:val="32"/>
        </w:rPr>
        <w:t>财务制度》</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中国共产党民丰县纪律检查委员会</w:t>
      </w:r>
      <w:r>
        <w:rPr>
          <w:rFonts w:hint="eastAsia" w:ascii="仿宋" w:hAnsi="仿宋" w:eastAsia="仿宋" w:cs="仿宋"/>
          <w:color w:val="auto"/>
          <w:sz w:val="32"/>
          <w:szCs w:val="32"/>
        </w:rPr>
        <w:t>项目管理制度》</w:t>
      </w:r>
    </w:p>
    <w:p>
      <w:pPr>
        <w:pStyle w:val="3"/>
        <w:ind w:left="0" w:leftChars="0"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其他材料</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5DB816CF"/>
    <w:multiLevelType w:val="singleLevel"/>
    <w:tmpl w:val="5DB816CF"/>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397AF4"/>
    <w:rsid w:val="00465207"/>
    <w:rsid w:val="007807C2"/>
    <w:rsid w:val="007E3496"/>
    <w:rsid w:val="009121D1"/>
    <w:rsid w:val="00F11E6D"/>
    <w:rsid w:val="01054869"/>
    <w:rsid w:val="013E0208"/>
    <w:rsid w:val="015D6FAE"/>
    <w:rsid w:val="018D3C1F"/>
    <w:rsid w:val="020E2A38"/>
    <w:rsid w:val="023B6478"/>
    <w:rsid w:val="02441943"/>
    <w:rsid w:val="029A0A2C"/>
    <w:rsid w:val="02D053DF"/>
    <w:rsid w:val="03316484"/>
    <w:rsid w:val="048248A9"/>
    <w:rsid w:val="04F66797"/>
    <w:rsid w:val="051D5A53"/>
    <w:rsid w:val="05453501"/>
    <w:rsid w:val="056370A6"/>
    <w:rsid w:val="0624262D"/>
    <w:rsid w:val="062F0312"/>
    <w:rsid w:val="06C5743D"/>
    <w:rsid w:val="081D2AE1"/>
    <w:rsid w:val="084B2109"/>
    <w:rsid w:val="08D9103A"/>
    <w:rsid w:val="08E762C9"/>
    <w:rsid w:val="093443BE"/>
    <w:rsid w:val="09855E39"/>
    <w:rsid w:val="09A9167B"/>
    <w:rsid w:val="09AE1863"/>
    <w:rsid w:val="09B87218"/>
    <w:rsid w:val="09BB4B33"/>
    <w:rsid w:val="0A2A388C"/>
    <w:rsid w:val="0B1A2168"/>
    <w:rsid w:val="0BEF7BAC"/>
    <w:rsid w:val="0C0B76CB"/>
    <w:rsid w:val="0C1408A2"/>
    <w:rsid w:val="0C5D450C"/>
    <w:rsid w:val="0CD97160"/>
    <w:rsid w:val="0D735489"/>
    <w:rsid w:val="0D871459"/>
    <w:rsid w:val="0E1136FA"/>
    <w:rsid w:val="0E1F7EE3"/>
    <w:rsid w:val="0E5C4623"/>
    <w:rsid w:val="0E6E1D7A"/>
    <w:rsid w:val="0F3F0A88"/>
    <w:rsid w:val="0F9C2846"/>
    <w:rsid w:val="0FA56207"/>
    <w:rsid w:val="0FD659DE"/>
    <w:rsid w:val="0FED7C80"/>
    <w:rsid w:val="100E4185"/>
    <w:rsid w:val="101C44CA"/>
    <w:rsid w:val="108E1F4B"/>
    <w:rsid w:val="10E66A06"/>
    <w:rsid w:val="116A39F3"/>
    <w:rsid w:val="11E62032"/>
    <w:rsid w:val="124475C0"/>
    <w:rsid w:val="127D22E8"/>
    <w:rsid w:val="12B10B1A"/>
    <w:rsid w:val="12E74AA5"/>
    <w:rsid w:val="13236DB9"/>
    <w:rsid w:val="133A7289"/>
    <w:rsid w:val="143C2425"/>
    <w:rsid w:val="14AC247C"/>
    <w:rsid w:val="15953456"/>
    <w:rsid w:val="15980F03"/>
    <w:rsid w:val="15C50BAE"/>
    <w:rsid w:val="171A0E2E"/>
    <w:rsid w:val="177E0220"/>
    <w:rsid w:val="17DA7A45"/>
    <w:rsid w:val="18A5269F"/>
    <w:rsid w:val="18C5724C"/>
    <w:rsid w:val="19BD0569"/>
    <w:rsid w:val="19C53504"/>
    <w:rsid w:val="19FC7DC3"/>
    <w:rsid w:val="1A2069B5"/>
    <w:rsid w:val="1A3F4E5A"/>
    <w:rsid w:val="1AF2441A"/>
    <w:rsid w:val="1AFD7E1D"/>
    <w:rsid w:val="1BF86A46"/>
    <w:rsid w:val="1C5822F6"/>
    <w:rsid w:val="1C675967"/>
    <w:rsid w:val="1C6D6F94"/>
    <w:rsid w:val="1C90583C"/>
    <w:rsid w:val="1CDC3433"/>
    <w:rsid w:val="1D2A2BC3"/>
    <w:rsid w:val="1D6337F7"/>
    <w:rsid w:val="1D8071C9"/>
    <w:rsid w:val="1D811C8B"/>
    <w:rsid w:val="1DC55B79"/>
    <w:rsid w:val="1DCD0432"/>
    <w:rsid w:val="1E7E35C2"/>
    <w:rsid w:val="1FE83678"/>
    <w:rsid w:val="201662C5"/>
    <w:rsid w:val="20311205"/>
    <w:rsid w:val="20397AF8"/>
    <w:rsid w:val="20764F86"/>
    <w:rsid w:val="20C74BE2"/>
    <w:rsid w:val="20DE327E"/>
    <w:rsid w:val="20F23CAF"/>
    <w:rsid w:val="21393877"/>
    <w:rsid w:val="21473D45"/>
    <w:rsid w:val="21E97E9F"/>
    <w:rsid w:val="21F9537E"/>
    <w:rsid w:val="22F02F92"/>
    <w:rsid w:val="233317E1"/>
    <w:rsid w:val="238E08B1"/>
    <w:rsid w:val="24032071"/>
    <w:rsid w:val="243B7DDA"/>
    <w:rsid w:val="243F6E75"/>
    <w:rsid w:val="244664A7"/>
    <w:rsid w:val="249B2350"/>
    <w:rsid w:val="25B440FD"/>
    <w:rsid w:val="25D91A6E"/>
    <w:rsid w:val="25E556FF"/>
    <w:rsid w:val="267601BD"/>
    <w:rsid w:val="26901D18"/>
    <w:rsid w:val="26E240B6"/>
    <w:rsid w:val="277942F2"/>
    <w:rsid w:val="28361A5A"/>
    <w:rsid w:val="28D01E46"/>
    <w:rsid w:val="29BC098F"/>
    <w:rsid w:val="2A5461A7"/>
    <w:rsid w:val="2A656172"/>
    <w:rsid w:val="2AF50BFD"/>
    <w:rsid w:val="2B39119E"/>
    <w:rsid w:val="2B650AF2"/>
    <w:rsid w:val="2B971008"/>
    <w:rsid w:val="2BC66837"/>
    <w:rsid w:val="2C0E7826"/>
    <w:rsid w:val="2C2D141C"/>
    <w:rsid w:val="2DF15DFD"/>
    <w:rsid w:val="2DF9711E"/>
    <w:rsid w:val="2E0C5F32"/>
    <w:rsid w:val="2E413A5C"/>
    <w:rsid w:val="2ECC2D36"/>
    <w:rsid w:val="2EFA156F"/>
    <w:rsid w:val="2F5D13E8"/>
    <w:rsid w:val="2F976B05"/>
    <w:rsid w:val="2FAE2071"/>
    <w:rsid w:val="2FFA6DE3"/>
    <w:rsid w:val="305119C6"/>
    <w:rsid w:val="30834838"/>
    <w:rsid w:val="316005CA"/>
    <w:rsid w:val="31BA1F08"/>
    <w:rsid w:val="31BF65A1"/>
    <w:rsid w:val="31F54E76"/>
    <w:rsid w:val="3271782C"/>
    <w:rsid w:val="337A0897"/>
    <w:rsid w:val="33B456FA"/>
    <w:rsid w:val="34070494"/>
    <w:rsid w:val="34085CD3"/>
    <w:rsid w:val="34A248A0"/>
    <w:rsid w:val="34F125F4"/>
    <w:rsid w:val="34FB2401"/>
    <w:rsid w:val="35062951"/>
    <w:rsid w:val="361F00E6"/>
    <w:rsid w:val="36494625"/>
    <w:rsid w:val="364C3CCF"/>
    <w:rsid w:val="367C61D6"/>
    <w:rsid w:val="3700231F"/>
    <w:rsid w:val="37314123"/>
    <w:rsid w:val="37535DB9"/>
    <w:rsid w:val="376626F1"/>
    <w:rsid w:val="3773532D"/>
    <w:rsid w:val="37F05A02"/>
    <w:rsid w:val="392F6990"/>
    <w:rsid w:val="39516C4E"/>
    <w:rsid w:val="39E41117"/>
    <w:rsid w:val="3A1E5BAB"/>
    <w:rsid w:val="3A3C7EEF"/>
    <w:rsid w:val="3A721A6F"/>
    <w:rsid w:val="3A8C361B"/>
    <w:rsid w:val="3AD1374D"/>
    <w:rsid w:val="3B1C0595"/>
    <w:rsid w:val="3B2C53E9"/>
    <w:rsid w:val="3B4A7EBC"/>
    <w:rsid w:val="3B6F178F"/>
    <w:rsid w:val="3B7A677E"/>
    <w:rsid w:val="3B842124"/>
    <w:rsid w:val="3BD32D3C"/>
    <w:rsid w:val="3C482A47"/>
    <w:rsid w:val="3C484CE8"/>
    <w:rsid w:val="3C8E3EE0"/>
    <w:rsid w:val="3D025608"/>
    <w:rsid w:val="3D2730D3"/>
    <w:rsid w:val="3DEA7368"/>
    <w:rsid w:val="3E722AE1"/>
    <w:rsid w:val="3E975F6D"/>
    <w:rsid w:val="3ECE6B68"/>
    <w:rsid w:val="3F390902"/>
    <w:rsid w:val="3FE117F2"/>
    <w:rsid w:val="40736A77"/>
    <w:rsid w:val="409D3644"/>
    <w:rsid w:val="40CD3266"/>
    <w:rsid w:val="412F4064"/>
    <w:rsid w:val="41C8702B"/>
    <w:rsid w:val="423C34A3"/>
    <w:rsid w:val="423F3E14"/>
    <w:rsid w:val="42D3318F"/>
    <w:rsid w:val="434B464C"/>
    <w:rsid w:val="43BD20C6"/>
    <w:rsid w:val="43EB4276"/>
    <w:rsid w:val="441253AF"/>
    <w:rsid w:val="456D7650"/>
    <w:rsid w:val="469F374B"/>
    <w:rsid w:val="46A07351"/>
    <w:rsid w:val="46B03C17"/>
    <w:rsid w:val="46B82D4C"/>
    <w:rsid w:val="46D41550"/>
    <w:rsid w:val="472A270B"/>
    <w:rsid w:val="476C6DBC"/>
    <w:rsid w:val="47EA0B06"/>
    <w:rsid w:val="47F64860"/>
    <w:rsid w:val="48456F93"/>
    <w:rsid w:val="485A270D"/>
    <w:rsid w:val="48820632"/>
    <w:rsid w:val="48CC2F48"/>
    <w:rsid w:val="48FC00D6"/>
    <w:rsid w:val="49A11CAE"/>
    <w:rsid w:val="4A4A53F5"/>
    <w:rsid w:val="4A66296B"/>
    <w:rsid w:val="4AED6187"/>
    <w:rsid w:val="4B0B6050"/>
    <w:rsid w:val="4B284138"/>
    <w:rsid w:val="4C0D65B0"/>
    <w:rsid w:val="4C404649"/>
    <w:rsid w:val="4C665EA0"/>
    <w:rsid w:val="4D301742"/>
    <w:rsid w:val="4D841A4B"/>
    <w:rsid w:val="4D9D7F5D"/>
    <w:rsid w:val="4E0C1C90"/>
    <w:rsid w:val="4E360A1B"/>
    <w:rsid w:val="4FB47F8D"/>
    <w:rsid w:val="4FF57093"/>
    <w:rsid w:val="502F050E"/>
    <w:rsid w:val="50B36A43"/>
    <w:rsid w:val="515D203B"/>
    <w:rsid w:val="51731038"/>
    <w:rsid w:val="517E2E87"/>
    <w:rsid w:val="51DA507E"/>
    <w:rsid w:val="528D5F6D"/>
    <w:rsid w:val="529F3AC9"/>
    <w:rsid w:val="52B25F78"/>
    <w:rsid w:val="52BB3184"/>
    <w:rsid w:val="53980E8A"/>
    <w:rsid w:val="539A0105"/>
    <w:rsid w:val="53A065BD"/>
    <w:rsid w:val="53AD7A19"/>
    <w:rsid w:val="546A1E8D"/>
    <w:rsid w:val="547D4F88"/>
    <w:rsid w:val="54883071"/>
    <w:rsid w:val="54AA2DFE"/>
    <w:rsid w:val="55004D62"/>
    <w:rsid w:val="5529221D"/>
    <w:rsid w:val="55E91885"/>
    <w:rsid w:val="56EE5C96"/>
    <w:rsid w:val="56F42115"/>
    <w:rsid w:val="572267AA"/>
    <w:rsid w:val="57652D51"/>
    <w:rsid w:val="58A83203"/>
    <w:rsid w:val="58CF5D32"/>
    <w:rsid w:val="58D7335B"/>
    <w:rsid w:val="58FD4E82"/>
    <w:rsid w:val="593E7BB8"/>
    <w:rsid w:val="59402FE3"/>
    <w:rsid w:val="59B53DEC"/>
    <w:rsid w:val="5A47403B"/>
    <w:rsid w:val="5AB526C9"/>
    <w:rsid w:val="5AB82A9D"/>
    <w:rsid w:val="5B1954BB"/>
    <w:rsid w:val="5D365CAA"/>
    <w:rsid w:val="5D4E431E"/>
    <w:rsid w:val="5E0A6E1D"/>
    <w:rsid w:val="5ECD572D"/>
    <w:rsid w:val="5EF920F0"/>
    <w:rsid w:val="5F0A79ED"/>
    <w:rsid w:val="5F9D2CE0"/>
    <w:rsid w:val="5FA52ED3"/>
    <w:rsid w:val="607A1F3D"/>
    <w:rsid w:val="608C05CF"/>
    <w:rsid w:val="60991858"/>
    <w:rsid w:val="618D3A69"/>
    <w:rsid w:val="619E41FB"/>
    <w:rsid w:val="61B65781"/>
    <w:rsid w:val="62136EA9"/>
    <w:rsid w:val="624A5550"/>
    <w:rsid w:val="62711DF8"/>
    <w:rsid w:val="62AC048E"/>
    <w:rsid w:val="62C428CB"/>
    <w:rsid w:val="63232D81"/>
    <w:rsid w:val="63525110"/>
    <w:rsid w:val="64146336"/>
    <w:rsid w:val="642C6C5F"/>
    <w:rsid w:val="642E1B9A"/>
    <w:rsid w:val="64FD51A7"/>
    <w:rsid w:val="65585550"/>
    <w:rsid w:val="657610B9"/>
    <w:rsid w:val="65A77252"/>
    <w:rsid w:val="66FD2275"/>
    <w:rsid w:val="67097119"/>
    <w:rsid w:val="674361DF"/>
    <w:rsid w:val="683D167D"/>
    <w:rsid w:val="68BB6E64"/>
    <w:rsid w:val="68CB47DE"/>
    <w:rsid w:val="696D62E0"/>
    <w:rsid w:val="6B7F6CDF"/>
    <w:rsid w:val="6B9A1DFE"/>
    <w:rsid w:val="6BBC7F29"/>
    <w:rsid w:val="6BBF063B"/>
    <w:rsid w:val="6C4C768B"/>
    <w:rsid w:val="6CE27501"/>
    <w:rsid w:val="6DE328D8"/>
    <w:rsid w:val="6E0D3A73"/>
    <w:rsid w:val="6E361EA1"/>
    <w:rsid w:val="6EB524BB"/>
    <w:rsid w:val="6ECF2E60"/>
    <w:rsid w:val="6F493024"/>
    <w:rsid w:val="6F5535E5"/>
    <w:rsid w:val="6F7A2C81"/>
    <w:rsid w:val="6F7E3958"/>
    <w:rsid w:val="6FBD6F92"/>
    <w:rsid w:val="6FFC34E0"/>
    <w:rsid w:val="700B24AF"/>
    <w:rsid w:val="70277C83"/>
    <w:rsid w:val="70334A57"/>
    <w:rsid w:val="70651092"/>
    <w:rsid w:val="708A1B58"/>
    <w:rsid w:val="711733E9"/>
    <w:rsid w:val="71582C5C"/>
    <w:rsid w:val="71A9184B"/>
    <w:rsid w:val="71AD2A02"/>
    <w:rsid w:val="74175983"/>
    <w:rsid w:val="74270529"/>
    <w:rsid w:val="74992165"/>
    <w:rsid w:val="750F0577"/>
    <w:rsid w:val="757C10DA"/>
    <w:rsid w:val="759A6C8C"/>
    <w:rsid w:val="75E35B61"/>
    <w:rsid w:val="762E14C6"/>
    <w:rsid w:val="76337E79"/>
    <w:rsid w:val="76C2766E"/>
    <w:rsid w:val="785A1719"/>
    <w:rsid w:val="78831055"/>
    <w:rsid w:val="78E731DE"/>
    <w:rsid w:val="79BA1933"/>
    <w:rsid w:val="7A004C20"/>
    <w:rsid w:val="7A5E439F"/>
    <w:rsid w:val="7A9167AD"/>
    <w:rsid w:val="7A931FE0"/>
    <w:rsid w:val="7BF35895"/>
    <w:rsid w:val="7C8A5DAD"/>
    <w:rsid w:val="7CFF3C32"/>
    <w:rsid w:val="7E485964"/>
    <w:rsid w:val="7EF84129"/>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2">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afterLines="0" w:afterAutospacing="0"/>
    </w:pPr>
  </w:style>
  <w:style w:type="paragraph" w:styleId="5">
    <w:name w:val="Body Text First Indent"/>
    <w:basedOn w:val="4"/>
    <w:qFormat/>
    <w:uiPriority w:val="0"/>
    <w:pPr>
      <w:ind w:firstLine="420" w:firstLineChars="100"/>
    </w:pPr>
  </w:style>
  <w:style w:type="paragraph" w:styleId="6">
    <w:name w:val="Plain Text"/>
    <w:basedOn w:val="1"/>
    <w:unhideWhenUsed/>
    <w:qFormat/>
    <w:uiPriority w:val="0"/>
    <w:rPr>
      <w:rFonts w:ascii="宋体" w:hAnsi="Courier New" w:cs="Courier New"/>
      <w:szCs w:val="21"/>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character" w:styleId="13">
    <w:name w:val="FollowedHyperlink"/>
    <w:basedOn w:val="11"/>
    <w:qFormat/>
    <w:uiPriority w:val="0"/>
    <w:rPr>
      <w:color w:val="800080"/>
      <w:u w:val="none"/>
    </w:rPr>
  </w:style>
  <w:style w:type="character" w:styleId="14">
    <w:name w:val="Emphasis"/>
    <w:basedOn w:val="11"/>
    <w:qFormat/>
    <w:uiPriority w:val="0"/>
    <w:rPr>
      <w:i/>
    </w:rPr>
  </w:style>
  <w:style w:type="character" w:styleId="15">
    <w:name w:val="Hyperlink"/>
    <w:basedOn w:val="11"/>
    <w:qFormat/>
    <w:uiPriority w:val="0"/>
    <w:rPr>
      <w:color w:val="0000FF"/>
      <w:u w:val="single"/>
    </w:rPr>
  </w:style>
  <w:style w:type="character" w:customStyle="1" w:styleId="16">
    <w:name w:val="页眉 Char"/>
    <w:basedOn w:val="11"/>
    <w:link w:val="8"/>
    <w:qFormat/>
    <w:uiPriority w:val="0"/>
    <w:rPr>
      <w:kern w:val="2"/>
      <w:sz w:val="18"/>
      <w:szCs w:val="18"/>
    </w:rPr>
  </w:style>
  <w:style w:type="character" w:customStyle="1" w:styleId="17">
    <w:name w:val="页脚 Char"/>
    <w:basedOn w:val="11"/>
    <w:link w:val="7"/>
    <w:qFormat/>
    <w:uiPriority w:val="0"/>
    <w:rPr>
      <w:kern w:val="2"/>
      <w:sz w:val="18"/>
      <w:szCs w:val="18"/>
    </w:rPr>
  </w:style>
  <w:style w:type="paragraph" w:customStyle="1" w:styleId="18">
    <w:name w:val="p0"/>
    <w:basedOn w:val="1"/>
    <w:qFormat/>
    <w:uiPriority w:val="0"/>
    <w:pPr>
      <w:widowControl/>
    </w:pPr>
    <w:rPr>
      <w:rFonts w:ascii="Calibri" w:hAnsi="Calibri" w:eastAsia="宋体" w:cs="宋体"/>
      <w:kern w:val="0"/>
      <w:szCs w:val="21"/>
    </w:rPr>
  </w:style>
  <w:style w:type="paragraph" w:customStyle="1" w:styleId="19">
    <w:name w:val="闻政正文"/>
    <w:basedOn w:val="1"/>
    <w:link w:val="24"/>
    <w:qFormat/>
    <w:uiPriority w:val="0"/>
    <w:pPr>
      <w:spacing w:line="500" w:lineRule="exact"/>
      <w:ind w:firstLine="560"/>
    </w:pPr>
    <w:rPr>
      <w:rFonts w:hint="default" w:ascii="Times New Roman" w:hAnsi="Times New Roman" w:eastAsia="仿宋_GB2312" w:cstheme="minorBidi"/>
      <w:szCs w:val="28"/>
    </w:rPr>
  </w:style>
  <w:style w:type="paragraph" w:customStyle="1" w:styleId="20">
    <w:name w:val="绩效评价"/>
    <w:basedOn w:val="3"/>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1">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2">
    <w:name w:val="hover17"/>
    <w:basedOn w:val="11"/>
    <w:qFormat/>
    <w:uiPriority w:val="0"/>
    <w:rPr>
      <w:color w:val="557EE7"/>
    </w:rPr>
  </w:style>
  <w:style w:type="paragraph" w:customStyle="1" w:styleId="23">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4">
    <w:name w:val="闻政正文 Char"/>
    <w:link w:val="19"/>
    <w:qFormat/>
    <w:uiPriority w:val="99"/>
    <w:rPr>
      <w:rFonts w:hint="default" w:ascii="Times New Roman" w:hAnsi="Times New Roman" w:eastAsia="仿宋_GB2312" w:cstheme="minorBidi"/>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2</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木棉花</cp:lastModifiedBy>
  <dcterms:modified xsi:type="dcterms:W3CDTF">2020-05-19T15:11:10Z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