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pStyle w:val="2"/>
        <w:rPr>
          <w:rFonts w:hint="eastAsia" w:ascii="仿宋" w:hAnsi="仿宋" w:eastAsia="仿宋" w:cs="仿宋"/>
          <w:b/>
          <w:bCs/>
          <w:color w:val="auto"/>
          <w:sz w:val="32"/>
          <w:szCs w:val="32"/>
          <w:lang w:val="en-US" w:eastAsia="zh-CN"/>
        </w:rPr>
      </w:pPr>
    </w:p>
    <w:p>
      <w:pPr>
        <w:rPr>
          <w:rFonts w:hint="eastAsia" w:ascii="仿宋" w:hAnsi="仿宋" w:eastAsia="仿宋" w:cs="仿宋"/>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color w:val="auto"/>
          <w:sz w:val="52"/>
          <w:szCs w:val="52"/>
        </w:rPr>
      </w:pPr>
      <w:r>
        <w:rPr>
          <w:rFonts w:hint="eastAsia" w:ascii="仿宋" w:hAnsi="仿宋" w:eastAsia="仿宋" w:cs="仿宋"/>
          <w:b/>
          <w:bCs/>
          <w:color w:val="auto"/>
          <w:sz w:val="52"/>
          <w:szCs w:val="52"/>
        </w:rPr>
        <w:t>自治区财政支出事前绩效评估报告</w:t>
      </w:r>
    </w:p>
    <w:p>
      <w:pPr>
        <w:widowControl/>
        <w:jc w:val="center"/>
        <w:rPr>
          <w:rFonts w:hint="eastAsia" w:ascii="仿宋" w:hAnsi="仿宋" w:eastAsia="仿宋" w:cs="仿宋"/>
          <w:color w:val="auto"/>
          <w:kern w:val="0"/>
          <w:sz w:val="44"/>
          <w:szCs w:val="44"/>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widowControl/>
        <w:rPr>
          <w:rFonts w:hint="eastAsia" w:ascii="仿宋" w:hAnsi="仿宋" w:eastAsia="仿宋" w:cs="仿宋"/>
          <w:b/>
          <w:bCs/>
          <w:color w:val="auto"/>
          <w:kern w:val="0"/>
          <w:sz w:val="32"/>
          <w:szCs w:val="32"/>
        </w:rPr>
      </w:pPr>
    </w:p>
    <w:p>
      <w:pPr>
        <w:ind w:left="2564" w:leftChars="456" w:hanging="1606" w:hangingChars="500"/>
        <w:rPr>
          <w:rFonts w:hint="default" w:ascii="仿宋" w:hAnsi="仿宋" w:eastAsia="仿宋" w:cs="仿宋"/>
          <w:b/>
          <w:bCs/>
          <w:color w:val="auto"/>
          <w:sz w:val="32"/>
          <w:szCs w:val="32"/>
          <w:lang w:val="en-US"/>
        </w:rPr>
      </w:pPr>
      <w:r>
        <w:rPr>
          <w:rFonts w:hint="eastAsia"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w:t>
      </w:r>
      <w:bookmarkStart w:id="0" w:name="_GoBack"/>
      <w:r>
        <w:rPr>
          <w:rFonts w:hint="eastAsia" w:ascii="仿宋" w:hAnsi="仿宋" w:eastAsia="仿宋" w:cs="仿宋"/>
          <w:b/>
          <w:bCs/>
          <w:color w:val="auto"/>
          <w:kern w:val="2"/>
          <w:sz w:val="32"/>
          <w:szCs w:val="32"/>
          <w:lang w:val="en-US" w:eastAsia="zh-CN"/>
        </w:rPr>
        <w:t>基层人大补助经费项目</w:t>
      </w:r>
      <w:bookmarkEnd w:id="0"/>
    </w:p>
    <w:p>
      <w:pPr>
        <w:pStyle w:val="18"/>
        <w:ind w:firstLine="964" w:firstLineChars="300"/>
        <w:jc w:val="left"/>
        <w:rPr>
          <w:rFonts w:hint="eastAsia" w:ascii="仿宋" w:hAnsi="仿宋" w:eastAsia="仿宋" w:cs="仿宋"/>
          <w:b/>
          <w:bCs/>
          <w:color w:val="auto"/>
          <w:sz w:val="32"/>
          <w:szCs w:val="32"/>
          <w:lang w:eastAsia="zh-CN"/>
        </w:rPr>
      </w:pPr>
      <w:r>
        <w:rPr>
          <w:rFonts w:hint="eastAsia" w:ascii="仿宋" w:hAnsi="仿宋" w:eastAsia="仿宋" w:cs="仿宋"/>
          <w:b/>
          <w:bCs/>
          <w:color w:val="auto"/>
          <w:kern w:val="2"/>
          <w:sz w:val="32"/>
          <w:szCs w:val="32"/>
        </w:rPr>
        <w:t>制定单位（盖章）：</w:t>
      </w:r>
      <w:r>
        <w:rPr>
          <w:rFonts w:hint="eastAsia" w:ascii="仿宋" w:hAnsi="仿宋" w:eastAsia="仿宋" w:cs="仿宋"/>
          <w:b/>
          <w:bCs/>
          <w:color w:val="auto"/>
          <w:sz w:val="32"/>
          <w:szCs w:val="32"/>
          <w:lang w:val="en-US" w:eastAsia="zh-CN"/>
        </w:rPr>
        <w:t>民丰县人民代表大会常务委员会</w:t>
      </w:r>
    </w:p>
    <w:p>
      <w:pPr>
        <w:pStyle w:val="18"/>
        <w:ind w:firstLine="1449" w:firstLineChars="453"/>
        <w:jc w:val="left"/>
        <w:rPr>
          <w:rFonts w:hint="eastAsia" w:ascii="仿宋" w:hAnsi="仿宋" w:eastAsia="仿宋" w:cs="仿宋"/>
          <w:color w:val="auto"/>
          <w:sz w:val="32"/>
          <w:szCs w:val="32"/>
          <w:lang w:eastAsia="zh-CN"/>
        </w:rPr>
      </w:pPr>
    </w:p>
    <w:p>
      <w:pPr>
        <w:pStyle w:val="18"/>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评估时间：20</w:t>
      </w:r>
      <w:r>
        <w:rPr>
          <w:rFonts w:hint="eastAsia" w:ascii="仿宋" w:hAnsi="仿宋" w:eastAsia="仿宋" w:cs="仿宋"/>
          <w:b/>
          <w:color w:val="auto"/>
          <w:sz w:val="32"/>
          <w:szCs w:val="32"/>
          <w:lang w:val="en-US"/>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r>
        <w:rPr>
          <w:rFonts w:hint="eastAsia" w:ascii="仿宋" w:hAnsi="仿宋" w:eastAsia="仿宋" w:cs="仿宋"/>
          <w:b/>
          <w:color w:val="auto"/>
          <w:sz w:val="32"/>
          <w:szCs w:val="32"/>
        </w:rPr>
        <w:t>日</w:t>
      </w: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一、评估对象概况</w:t>
      </w:r>
    </w:p>
    <w:p>
      <w:p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(一)立项依据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中共中央政治局委员、全国人大常委会副委员长李建国2017年6月20日在推进县乡人大工作和建设经验交流会总结讲话中强调，要深入学习领会习近平总书记系列重要讲话精神，落实好党中央关于县乡人大工作和建设的要求，为长期坚持、全面贯彻、不断发展人民代表大会制度，推进社会主义民主法治建设作出新的贡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交流会指出，党中央专门就加强县乡人大工作和建设出台文件，充分体现了以习近平同志为核心的党中央对人大工作和建设的高度重视。两年来，全国人大常委会根据文件精神，及时修改地方组织法、选举法、代表法，加强了对地方人大的工作指导；地方各级党委、人大高度重视，积极落实文件精神，县乡人大工作和建设呈现出新局面，人民代表大会制度和基层民主政治建设焕发出蓬勃生机。据此依据，特设立此项目。</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（二）立项背景</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习近平总书记指出：“现在，县级政权所承担的责任越来越大，需要办的事情越来越多，尤其是在全面建成小康社会、全面深化改革、全面依法治国、全面从严治党进程中起着重要作用。”必须加强县乡人大工作和建设，充分发挥基层国家权力机关作用，保证党领导人民管理国家和社会事务、管理经济和文化事业，保证县乡两级国家机关正常运转和领导人员有序更替，提高县域治理的水平和效能，保证地方各项工作在法治轨道上运行，实现经济社会各项事业更好更快发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各级人大一定要切实增强责任意识、使命意识、担当意识，以对党对人民高度负责的态度，采取有效措施，千方百计推进工作，争取尽早解决制约工作开展的关键问题，确保县乡人大工作和建设尽快取得新成效。以此为背景，我单位开展基层人大补助经费项目是十分必要的。</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民丰县基层人大补助经费</w:t>
      </w:r>
      <w:r>
        <w:rPr>
          <w:rFonts w:hint="eastAsia" w:ascii="仿宋" w:hAnsi="仿宋" w:eastAsia="仿宋" w:cs="仿宋"/>
          <w:b w:val="0"/>
          <w:bCs w:val="0"/>
          <w:color w:val="auto"/>
          <w:sz w:val="32"/>
          <w:szCs w:val="32"/>
        </w:rPr>
        <w:t>涉</w:t>
      </w:r>
      <w:r>
        <w:rPr>
          <w:rFonts w:hint="eastAsia" w:ascii="仿宋" w:hAnsi="仿宋" w:eastAsia="仿宋" w:cs="仿宋"/>
          <w:color w:val="auto"/>
          <w:sz w:val="32"/>
          <w:szCs w:val="32"/>
        </w:rPr>
        <w:t>及的相关主体为</w:t>
      </w:r>
      <w:r>
        <w:rPr>
          <w:rFonts w:hint="eastAsia" w:ascii="仿宋" w:hAnsi="仿宋" w:eastAsia="仿宋" w:cs="仿宋"/>
          <w:color w:val="auto"/>
          <w:sz w:val="32"/>
          <w:szCs w:val="32"/>
          <w:lang w:val="en-US" w:eastAsia="zh-CN"/>
        </w:rPr>
        <w:t>民丰县人民代表大会常务委员会，</w:t>
      </w:r>
      <w:r>
        <w:rPr>
          <w:rFonts w:hint="eastAsia" w:ascii="仿宋" w:hAnsi="仿宋" w:eastAsia="仿宋" w:cs="仿宋"/>
          <w:b w:val="0"/>
          <w:bCs w:val="0"/>
          <w:color w:val="auto"/>
          <w:kern w:val="2"/>
          <w:sz w:val="32"/>
          <w:szCs w:val="32"/>
          <w:lang w:val="en-US" w:eastAsia="zh-CN"/>
        </w:rPr>
        <w:t>民丰</w:t>
      </w:r>
      <w:r>
        <w:rPr>
          <w:rFonts w:hint="eastAsia" w:ascii="仿宋" w:hAnsi="仿宋" w:eastAsia="仿宋" w:cs="仿宋"/>
          <w:color w:val="auto"/>
          <w:sz w:val="32"/>
          <w:szCs w:val="32"/>
          <w:lang w:val="en-US" w:eastAsia="zh-CN"/>
        </w:rPr>
        <w:t>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民丰县人民代表大会常务委员会</w:t>
      </w:r>
      <w:r>
        <w:rPr>
          <w:rFonts w:hint="eastAsia" w:ascii="仿宋" w:hAnsi="仿宋" w:eastAsia="仿宋" w:cs="仿宋"/>
          <w:color w:val="auto"/>
          <w:sz w:val="32"/>
          <w:szCs w:val="32"/>
        </w:rPr>
        <w:t>负责</w:t>
      </w:r>
      <w:r>
        <w:rPr>
          <w:rFonts w:hint="eastAsia" w:ascii="仿宋" w:hAnsi="仿宋" w:eastAsia="仿宋" w:cs="仿宋"/>
          <w:b w:val="0"/>
          <w:bCs w:val="0"/>
          <w:color w:val="auto"/>
          <w:kern w:val="2"/>
          <w:sz w:val="32"/>
          <w:szCs w:val="32"/>
          <w:lang w:val="en-US" w:eastAsia="zh-CN"/>
        </w:rPr>
        <w:t>基层人大补助经费</w:t>
      </w:r>
      <w:r>
        <w:rPr>
          <w:rFonts w:hint="eastAsia" w:ascii="仿宋" w:hAnsi="仿宋" w:eastAsia="仿宋" w:cs="仿宋"/>
          <w:color w:val="auto"/>
          <w:sz w:val="32"/>
          <w:szCs w:val="32"/>
        </w:rPr>
        <w:t>项目审批，建立健全项目资金的筹措、管理、申请、使用工作机制。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w:t>
      </w:r>
      <w:r>
        <w:rPr>
          <w:rFonts w:hint="eastAsia" w:ascii="仿宋" w:hAnsi="仿宋" w:eastAsia="仿宋" w:cs="仿宋"/>
          <w:color w:val="auto"/>
          <w:sz w:val="32"/>
          <w:szCs w:val="32"/>
        </w:rPr>
        <w:t>县财政局负责拨付</w:t>
      </w:r>
      <w:r>
        <w:rPr>
          <w:rFonts w:hint="eastAsia" w:ascii="仿宋" w:hAnsi="仿宋" w:eastAsia="仿宋" w:cs="仿宋"/>
          <w:b w:val="0"/>
          <w:bCs w:val="0"/>
          <w:color w:val="auto"/>
          <w:kern w:val="2"/>
          <w:sz w:val="32"/>
          <w:szCs w:val="32"/>
          <w:lang w:val="en-US" w:eastAsia="zh-CN"/>
        </w:rPr>
        <w:t>基层人大补助经费</w:t>
      </w:r>
      <w:r>
        <w:rPr>
          <w:rFonts w:hint="eastAsia" w:ascii="仿宋" w:hAnsi="仿宋" w:eastAsia="仿宋" w:cs="仿宋"/>
          <w:color w:val="auto"/>
          <w:sz w:val="32"/>
          <w:szCs w:val="32"/>
        </w:rPr>
        <w:t>项目使用资金，并加强对</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资金使用的监督和管理。财政和项目实施单位严格实行“三专”管理，即设专户、建专帐、定专人。同时，资金拨付除坚持按项目计划、进度和质量分阶段验收拨款外，还坚持部门联审制，项目单位先做事、后报帐，从而确保了专项资金专款专用，有效地防止了截留、挤占和</w:t>
      </w:r>
      <w:r>
        <w:rPr>
          <w:rFonts w:hint="eastAsia" w:ascii="仿宋" w:hAnsi="仿宋" w:eastAsia="仿宋" w:cs="仿宋"/>
          <w:color w:val="auto"/>
          <w:sz w:val="32"/>
          <w:szCs w:val="32"/>
          <w:lang w:eastAsia="zh-CN"/>
        </w:rPr>
        <w:t>挪</w:t>
      </w:r>
      <w:r>
        <w:rPr>
          <w:rFonts w:hint="eastAsia" w:ascii="仿宋" w:hAnsi="仿宋" w:eastAsia="仿宋" w:cs="仿宋"/>
          <w:color w:val="auto"/>
          <w:sz w:val="32"/>
          <w:szCs w:val="32"/>
        </w:rPr>
        <w:t>用。</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主要内容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基层人大补助经费项目预算资金8万元，主要用于：办公设备购置、人大调研，视察、学习培训等，2020年计划确保开展对各乡镇基层人大的工作，调研8次，视察10次，代表培训4次。通过此项工作开展，加强党风廉政建设，以案促改，警示教育，廉政文化建设，同时运行好监督执纪‘四种形态’，营造风清气正的社会环境。</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预算情况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基层人大补助经费项目预算资金8万元。</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二、评估的方式方法</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r>
        <w:rPr>
          <w:rFonts w:hint="eastAsia" w:ascii="仿宋" w:hAnsi="仿宋" w:eastAsia="仿宋" w:cs="仿宋"/>
          <w:color w:val="auto"/>
          <w:sz w:val="32"/>
          <w:szCs w:val="32"/>
          <w:lang w:eastAsia="zh-CN"/>
        </w:rPr>
        <w:t>评估工作组以入户通知书的形式通知项目单位，并明确评估的依据、内容、目的、任务、时间、要求等事项。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评估工作组</w:t>
      </w:r>
      <w:r>
        <w:rPr>
          <w:rFonts w:hint="eastAsia" w:ascii="仿宋" w:hAnsi="仿宋" w:eastAsia="仿宋" w:cs="仿宋"/>
          <w:color w:val="auto"/>
          <w:sz w:val="32"/>
          <w:szCs w:val="32"/>
        </w:rPr>
        <w:t>按照</w:t>
      </w:r>
      <w:r>
        <w:rPr>
          <w:rFonts w:hint="eastAsia" w:ascii="仿宋" w:hAnsi="仿宋" w:eastAsia="仿宋" w:cs="仿宋"/>
          <w:color w:val="auto"/>
          <w:sz w:val="32"/>
          <w:szCs w:val="32"/>
          <w:lang w:eastAsia="zh-CN"/>
        </w:rPr>
        <w:t>民丰县人民代表大会常务委员会</w:t>
      </w:r>
      <w:r>
        <w:rPr>
          <w:rFonts w:hint="eastAsia" w:ascii="仿宋" w:hAnsi="仿宋" w:eastAsia="仿宋" w:cs="仿宋"/>
          <w:color w:val="auto"/>
          <w:sz w:val="32"/>
          <w:szCs w:val="32"/>
        </w:rPr>
        <w:t>工作计划，拟定</w:t>
      </w:r>
      <w:r>
        <w:rPr>
          <w:rFonts w:hint="eastAsia" w:ascii="仿宋" w:hAnsi="仿宋" w:eastAsia="仿宋" w:cs="仿宋"/>
          <w:color w:val="auto"/>
          <w:sz w:val="32"/>
          <w:szCs w:val="32"/>
          <w:lang w:eastAsia="zh-CN"/>
        </w:rPr>
        <w:t>《事前绩效评估工作方案》</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包括评估对象、内容、方法、专家、时间安排等。</w:t>
      </w:r>
      <w:r>
        <w:rPr>
          <w:rFonts w:hint="eastAsia" w:ascii="仿宋" w:hAnsi="仿宋" w:eastAsia="仿宋" w:cs="仿宋"/>
          <w:color w:val="auto"/>
          <w:sz w:val="32"/>
          <w:szCs w:val="32"/>
        </w:rPr>
        <w:t>依据</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内容明确工作时间节点，确保能够按照时间要求</w:t>
      </w:r>
      <w:r>
        <w:rPr>
          <w:rFonts w:hint="eastAsia" w:ascii="仿宋" w:hAnsi="仿宋" w:eastAsia="仿宋" w:cs="仿宋"/>
          <w:color w:val="auto"/>
          <w:sz w:val="32"/>
          <w:szCs w:val="32"/>
          <w:lang w:val="en-US" w:eastAsia="zh-CN"/>
        </w:rPr>
        <w:t>完成</w:t>
      </w:r>
      <w:r>
        <w:rPr>
          <w:rFonts w:hint="eastAsia" w:ascii="仿宋" w:hAnsi="仿宋" w:eastAsia="仿宋" w:cs="仿宋"/>
          <w:color w:val="auto"/>
          <w:sz w:val="32"/>
          <w:szCs w:val="32"/>
          <w:lang w:eastAsia="zh-CN"/>
        </w:rPr>
        <w:t>项目计划</w:t>
      </w:r>
      <w:r>
        <w:rPr>
          <w:rFonts w:hint="eastAsia" w:ascii="仿宋" w:hAnsi="仿宋" w:eastAsia="仿宋" w:cs="仿宋"/>
          <w:color w:val="auto"/>
          <w:sz w:val="32"/>
          <w:szCs w:val="32"/>
        </w:rPr>
        <w:t>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w:t>
      </w:r>
      <w:r>
        <w:rPr>
          <w:rFonts w:hint="eastAsia" w:ascii="仿宋" w:hAnsi="仿宋" w:eastAsia="仿宋" w:cs="仿宋"/>
          <w:color w:val="auto"/>
          <w:sz w:val="32"/>
          <w:szCs w:val="32"/>
          <w:lang w:eastAsia="zh-CN"/>
        </w:rPr>
        <w:t>评估工作组遴选相关人大代表、政协委员、管理专家、财政财务专家和业务专家，组成评估专家组，并适时开展业务培训。</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县本</w:t>
      </w:r>
      <w:r>
        <w:rPr>
          <w:rFonts w:hint="eastAsia" w:ascii="仿宋" w:hAnsi="仿宋" w:eastAsia="仿宋" w:cs="仿宋"/>
          <w:color w:val="auto"/>
          <w:sz w:val="32"/>
          <w:szCs w:val="32"/>
        </w:rPr>
        <w:t>项目负责人确定现场调研时间，明确工作内容，包括：需要准备的资料清单、项目方案、时间计划安排等。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6.组织实施评估。绩效考评组会同人大代表、政协委员和评估专家共同召开评估会议，了解项目基本情况，听取项目单位和设计单位的情况介绍，进行现场评议。</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(1)采取多种方式，多方获取信息。通过咨询专家、查阅资料、问卷调查、电话采访、集中座谈等方式，全面了解并收集项目信息。</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(2)专家出具个人意见，评估工作组形成专家组初步意见。召开专家评估会，项目单位汇报项目计划内容和实施方案情况，由评估工作组组织专家进行充分论证，出具专家个人意见，填写《项目支出事前绩效评估专家评估意见》。评估工作组结合专家意见，综合调查分析结果，形成专家组初步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(3)确认专家组意见，得出评估结论。评估工作组将专家组初步意见分别报送每一位专家征求意见，评估工作组综合专家意见，修改完善专家组意见，得出最终评估结论，填写《项目支出事前绩效评估专家组汇总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7.汇报绩效评估结论。完成最终评价报告，提出评估结论意见。</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本次事前绩效评估主要针对项目的相关性、项目绩效的可实现性、项目实施方案的有效性、项目预期绩效的可持续性、财政资金投入的可行性及风险等五方面进行综合评估、分析与论证，并提出相关建议。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w:t>
      </w:r>
      <w:r>
        <w:rPr>
          <w:rFonts w:hint="eastAsia" w:ascii="仿宋" w:hAnsi="仿宋" w:eastAsia="仿宋" w:cs="仿宋"/>
          <w:color w:val="auto"/>
          <w:sz w:val="32"/>
          <w:szCs w:val="32"/>
          <w:lang w:eastAsia="zh-CN"/>
        </w:rPr>
        <w:t>事前</w:t>
      </w:r>
      <w:r>
        <w:rPr>
          <w:rFonts w:hint="eastAsia" w:ascii="仿宋" w:hAnsi="仿宋" w:eastAsia="仿宋" w:cs="仿宋"/>
          <w:color w:val="auto"/>
          <w:sz w:val="32"/>
          <w:szCs w:val="32"/>
        </w:rPr>
        <w:t>绩效评估</w:t>
      </w:r>
      <w:r>
        <w:rPr>
          <w:rFonts w:hint="eastAsia" w:ascii="仿宋" w:hAnsi="仿宋" w:eastAsia="仿宋" w:cs="仿宋"/>
          <w:color w:val="auto"/>
          <w:sz w:val="32"/>
          <w:szCs w:val="32"/>
          <w:lang w:eastAsia="zh-CN"/>
        </w:rPr>
        <w:t>遵循全面考虑、重点突出的原则，主要采用专家咨询的方式，同时辅之以资料分析、集中座谈、网络查询、电话采访、抽样调查等评估方式或手段，对项目的相关性、可行性、持续性等方面进行全面评估。</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r>
        <w:rPr>
          <w:rFonts w:hint="eastAsia" w:ascii="仿宋" w:hAnsi="仿宋" w:eastAsia="仿宋" w:cs="仿宋"/>
          <w:color w:val="auto"/>
          <w:sz w:val="32"/>
          <w:szCs w:val="32"/>
          <w:lang w:eastAsia="zh-CN"/>
        </w:rPr>
        <w:t>。</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rPr>
        <w:t>事前绩效评估主要采用成本效益分析、比较分析、因素分析、最低成本分析、历史分析等方法进行论证。本次绩效采用“最低成本分析</w:t>
      </w:r>
      <w:r>
        <w:rPr>
          <w:rFonts w:hint="eastAsia" w:ascii="仿宋" w:hAnsi="仿宋" w:eastAsia="仿宋" w:cs="仿宋"/>
          <w:color w:val="auto"/>
          <w:sz w:val="32"/>
          <w:szCs w:val="32"/>
          <w:shd w:val="clear" w:color="auto" w:fill="FFFFFF"/>
        </w:rPr>
        <w:t>”进行评估。</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color="auto" w:fill="FFFFFF"/>
        </w:rPr>
        <w:t>首先，</w:t>
      </w:r>
      <w:r>
        <w:rPr>
          <w:rFonts w:hint="eastAsia" w:ascii="仿宋" w:hAnsi="仿宋" w:eastAsia="仿宋" w:cs="仿宋"/>
          <w:color w:val="auto"/>
          <w:sz w:val="32"/>
          <w:szCs w:val="32"/>
          <w:shd w:val="clear" w:color="auto" w:fill="FFFFFF"/>
          <w:lang w:val="en-US" w:eastAsia="zh-CN"/>
        </w:rPr>
        <w:t>民丰县人民代表大会常务委员会项目评估小组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部门会议决定，进行现场踏勘及问卷调查，实地了解情况，对项目可行性提供事实依据。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成员记录选取</w:t>
      </w:r>
      <w:r>
        <w:rPr>
          <w:rFonts w:hint="eastAsia" w:ascii="仿宋" w:hAnsi="仿宋" w:eastAsia="仿宋" w:cs="仿宋"/>
          <w:color w:val="auto"/>
          <w:sz w:val="32"/>
          <w:szCs w:val="32"/>
          <w:shd w:val="clear" w:color="auto" w:fill="FFFFFF"/>
          <w:lang w:val="en-US" w:eastAsia="zh-CN"/>
        </w:rPr>
        <w:t>问卷调查</w:t>
      </w:r>
      <w:r>
        <w:rPr>
          <w:rFonts w:hint="eastAsia" w:ascii="仿宋" w:hAnsi="仿宋" w:eastAsia="仿宋" w:cs="仿宋"/>
          <w:color w:val="auto"/>
          <w:sz w:val="32"/>
          <w:szCs w:val="32"/>
          <w:lang w:val="en-US" w:eastAsia="zh-CN"/>
        </w:rPr>
        <w:t>群众的情况介绍和意见</w:t>
      </w:r>
      <w:r>
        <w:rPr>
          <w:rFonts w:hint="eastAsia" w:ascii="仿宋" w:hAnsi="仿宋" w:eastAsia="仿宋" w:cs="仿宋"/>
          <w:color w:val="auto"/>
          <w:sz w:val="32"/>
          <w:szCs w:val="32"/>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组长：肖开提·玉努司（职务：民丰县人民代表大会常务委员会副主任）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组员：张涛（职务：民丰县人民代表大会常务委员会办公室主任）</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孙绍杰（职务：财政局党组书记，局长）</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default"/>
          <w:lang w:val="en-US" w:eastAsia="zh-CN"/>
        </w:rPr>
      </w:pPr>
      <w:r>
        <w:rPr>
          <w:rFonts w:hint="eastAsia" w:ascii="仿宋" w:hAnsi="仿宋" w:eastAsia="仿宋" w:cs="仿宋"/>
          <w:color w:val="auto"/>
          <w:sz w:val="32"/>
          <w:szCs w:val="32"/>
          <w:highlight w:val="none"/>
          <w:lang w:val="en-US" w:eastAsia="zh-CN"/>
        </w:rPr>
        <w:t xml:space="preserve"> 索小飞（职务：审计局党组书记，局长）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民丰县人民代表大会常务委员会组成3人评估小组，对该项目情况进行全方位调查和评估，确保评估工作公开、透明，为基层人大补助经费项目工作的开展提供经验和依据。</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三、评估内容</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1、项目符合相关政策，与部门职能和规划相关。</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符合《中共全国人大常委会党组关于加强县乡人大工作和建设的若干意见》（中发[2015]18号）及《自治区人大常委会召开推进县乡人大工作和建设经验交流会》文件精神，文件指出要落实好党中央关于县乡人大工作和建设的要求，为长期坚持、全面贯彻、不断发展人民代表大会制度，推进社会主义民主法治建设作出新的贡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民丰县人民代表大会常务委员会有相关职能：负责对各乡镇基层人大的工作，进行调研、视察及开展代表培训工作。</w:t>
      </w:r>
    </w:p>
    <w:p>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项目具有现实需求，且需求迫切。</w:t>
      </w:r>
    </w:p>
    <w:p>
      <w:pPr>
        <w:pStyle w:val="2"/>
        <w:numPr>
          <w:ilvl w:val="0"/>
          <w:numId w:val="0"/>
        </w:numPr>
        <w:ind w:firstLine="640" w:firstLineChars="2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项目的开展，可以为人大代表依法履行职责提供财力保障，可增强基层人大配套设施建设，提高基层人大工作人员业务指导能力。加强基层人大政权建设，提高基层人大服务能力。</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1、项目绩效目标基本明确，且有明确的受益群体。</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项目绩效目标明确，基本覆盖了预期的产出及效益情况，受益群体为基层人大工作人员，定位比较准确。</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2、项目绩效指标明确，且将项目绩效目标细化分解。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项目绩效指标明确且将项目绩效目标细化分解为具体的绩效指标：数量指标、质量指标、时效指标、成本指标、社会效益指标、可持续影响指标、服务对象满意度指标。</w:t>
      </w:r>
    </w:p>
    <w:p>
      <w:pPr>
        <w:pStyle w:val="2"/>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3、项目综合效益显著，预期效益可实现性较强</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color w:val="auto"/>
          <w:kern w:val="2"/>
          <w:sz w:val="32"/>
          <w:szCs w:val="32"/>
          <w:highlight w:val="none"/>
          <w:lang w:val="en-US" w:eastAsia="zh-CN" w:bidi="ar-SA"/>
        </w:rPr>
        <w:t>本项目无经济效益和生态效益，有明显的社会效益和可持续影响效益。项目的社会效益为显著提升进行规范立法调研，论证，审议的质量，可持续影响为显著提高代表执法监督的水平。通过此项工作开展，加强党风廉政建设，以案促改，警示教育，廉政文化建设，同时运行好监督执纪‘四种形态’，营造风清气正的社会环境。</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p>
    <w:p>
      <w:pPr>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4、以往年度项目的管理基本到位，且实现了预期目标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bidi="ar-SA"/>
        </w:rPr>
        <w:t>本项目为经常性项目。以往年度该项目完全达到了预期目标。将项目预期目标和成本预算与主管部门</w:t>
      </w:r>
      <w:r>
        <w:rPr>
          <w:rFonts w:hint="eastAsia" w:ascii="仿宋" w:hAnsi="仿宋" w:eastAsia="仿宋" w:cs="仿宋"/>
          <w:color w:val="auto"/>
          <w:sz w:val="32"/>
          <w:szCs w:val="32"/>
          <w:highlight w:val="none"/>
          <w:lang w:val="en-US" w:eastAsia="zh-CN"/>
        </w:rPr>
        <w:t>历史数据对比、与计划对比、与行业平均水平对比，未存在异常。</w:t>
      </w:r>
    </w:p>
    <w:p>
      <w:pPr>
        <w:pStyle w:val="5"/>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目标明确，</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科学合理，项目</w:t>
      </w:r>
      <w:r>
        <w:rPr>
          <w:rFonts w:hint="eastAsia" w:ascii="仿宋" w:hAnsi="仿宋" w:eastAsia="仿宋" w:cs="仿宋"/>
          <w:color w:val="auto"/>
          <w:sz w:val="32"/>
          <w:szCs w:val="32"/>
          <w:lang w:val="en-US" w:eastAsia="zh-CN"/>
        </w:rPr>
        <w:t>实施</w:t>
      </w:r>
      <w:r>
        <w:rPr>
          <w:rFonts w:hint="eastAsia" w:ascii="仿宋" w:hAnsi="仿宋" w:eastAsia="仿宋" w:cs="仿宋"/>
          <w:color w:val="auto"/>
          <w:sz w:val="32"/>
          <w:szCs w:val="32"/>
        </w:rPr>
        <w:t>具有可操作性，</w:t>
      </w:r>
      <w:r>
        <w:rPr>
          <w:rFonts w:hint="eastAsia" w:ascii="仿宋" w:hAnsi="仿宋" w:eastAsia="仿宋" w:cs="仿宋"/>
          <w:color w:val="auto"/>
          <w:sz w:val="32"/>
          <w:szCs w:val="32"/>
          <w:lang w:val="en-US" w:eastAsia="zh-CN"/>
        </w:rPr>
        <w:t>预期绩效目标可以实现</w:t>
      </w:r>
      <w:r>
        <w:rPr>
          <w:rFonts w:hint="eastAsia" w:ascii="仿宋" w:hAnsi="仿宋" w:eastAsia="仿宋" w:cs="仿宋"/>
          <w:color w:val="auto"/>
          <w:sz w:val="32"/>
          <w:szCs w:val="32"/>
        </w:rPr>
        <w:t>。</w:t>
      </w:r>
    </w:p>
    <w:p>
      <w:pPr>
        <w:widowControl w:val="0"/>
        <w:numPr>
          <w:ilvl w:val="0"/>
          <w:numId w:val="3"/>
        </w:numPr>
        <w:spacing w:beforeLines="0" w:afterLines="0"/>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实施方案的有效性</w:t>
      </w:r>
    </w:p>
    <w:p>
      <w:pPr>
        <w:keepNext w:val="0"/>
        <w:keepLines w:val="0"/>
        <w:pageBreakBefore w:val="0"/>
        <w:numPr>
          <w:ilvl w:val="0"/>
          <w:numId w:val="4"/>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项目内容明确，决策申报程序基本规范。</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lang w:val="en-US" w:eastAsia="zh-CN"/>
        </w:rPr>
      </w:pPr>
      <w:r>
        <w:rPr>
          <w:rStyle w:val="12"/>
          <w:rFonts w:hint="eastAsia" w:ascii="仿宋" w:hAnsi="仿宋" w:eastAsia="仿宋" w:cs="仿宋"/>
          <w:b w:val="0"/>
          <w:color w:val="auto"/>
          <w:spacing w:val="-4"/>
          <w:sz w:val="32"/>
          <w:szCs w:val="32"/>
          <w:lang w:val="en-US" w:eastAsia="zh-CN"/>
        </w:rPr>
        <w:t>项目内容明确，主要用于：办公设备购置、人大调研，视察、学习培训等，2020年计划确保开展对各乡镇基层人大的工作，调研8次，视察10次，代表培训4次。且决策申报程序基本规范。</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lang w:val="en-US" w:eastAsia="zh-CN"/>
        </w:rPr>
      </w:pPr>
      <w:r>
        <w:rPr>
          <w:rStyle w:val="12"/>
          <w:rFonts w:hint="eastAsia" w:ascii="仿宋" w:hAnsi="仿宋" w:eastAsia="仿宋" w:cs="仿宋"/>
          <w:b w:val="0"/>
          <w:color w:val="auto"/>
          <w:spacing w:val="-4"/>
          <w:sz w:val="32"/>
          <w:szCs w:val="32"/>
          <w:lang w:val="en-US" w:eastAsia="zh-CN"/>
        </w:rPr>
        <w:t>2、项目预算编制有文件依据，且与绩效目标与项目内容相匹配。</w:t>
      </w:r>
    </w:p>
    <w:p>
      <w:pPr>
        <w:pStyle w:val="2"/>
        <w:numPr>
          <w:ilvl w:val="0"/>
          <w:numId w:val="0"/>
        </w:numPr>
        <w:ind w:firstLine="624" w:firstLineChars="200"/>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项目预算编制主要依据《中华人民共和国预算法》、《关于印发[和田地区财政资金使用跟踪反馈管理暂行办法]的通知》（和地财预[2018]67号）文件，与绩效目标与项目内容相匹配。</w:t>
      </w:r>
    </w:p>
    <w:p>
      <w:pPr>
        <w:numPr>
          <w:ilvl w:val="0"/>
          <w:numId w:val="0"/>
        </w:numPr>
        <w:ind w:firstLine="624" w:firstLineChars="200"/>
        <w:rPr>
          <w:rStyle w:val="12"/>
          <w:rFonts w:hint="eastAsia" w:ascii="仿宋" w:hAnsi="仿宋" w:eastAsia="仿宋" w:cs="仿宋"/>
          <w:b w:val="0"/>
          <w:color w:val="auto"/>
          <w:spacing w:val="-4"/>
          <w:kern w:val="2"/>
          <w:sz w:val="32"/>
          <w:szCs w:val="32"/>
          <w:lang w:val="en-US" w:eastAsia="zh-CN" w:bidi="ar-SA"/>
        </w:rPr>
      </w:pPr>
      <w:r>
        <w:rPr>
          <w:rStyle w:val="12"/>
          <w:rFonts w:hint="eastAsia" w:ascii="仿宋" w:hAnsi="仿宋" w:eastAsia="仿宋" w:cs="仿宋"/>
          <w:b w:val="0"/>
          <w:color w:val="auto"/>
          <w:spacing w:val="-4"/>
          <w:kern w:val="2"/>
          <w:sz w:val="32"/>
          <w:szCs w:val="32"/>
          <w:lang w:val="en-US" w:eastAsia="zh-CN" w:bidi="ar-SA"/>
        </w:rPr>
        <w:t>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pStyle w:val="2"/>
        <w:numPr>
          <w:ilvl w:val="0"/>
          <w:numId w:val="0"/>
        </w:numPr>
        <w:ind w:firstLine="624" w:firstLineChars="200"/>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3、项目单位各项管理制度与措施健全，且基本得到有效执行。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1</w:t>
      </w:r>
      <w:r>
        <w:rPr>
          <w:rStyle w:val="12"/>
          <w:rFonts w:hint="eastAsia" w:ascii="仿宋" w:hAnsi="仿宋" w:eastAsia="仿宋" w:cs="仿宋"/>
          <w:b w:val="0"/>
          <w:color w:val="auto"/>
          <w:sz w:val="32"/>
          <w:szCs w:val="32"/>
          <w:lang w:eastAsia="zh-CN"/>
        </w:rPr>
        <w:t>）资金管理制度方面，</w:t>
      </w: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在项目实施期间，实施单位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切实做到：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1）坚持一支笔和项目重大开支集体讨论制定，项目支出报分管局领导同意后，再报分管局领导例会审议通过，以会议纪要为依据方可支付。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2）实行项目资金公告公示制度，对资金年度使用计划、扶持对象、支持项目、补助标准、资金来源及额度等信息按规定程序进行公告、公示，接受社会监督。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3）所有开支有详细明细和台账，确因客观原因无明细的附说明。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Style w:val="12"/>
          <w:rFonts w:hint="eastAsia" w:ascii="仿宋" w:hAnsi="仿宋" w:eastAsia="仿宋" w:cs="仿宋"/>
          <w:b w:val="0"/>
          <w:color w:val="auto"/>
          <w:sz w:val="32"/>
          <w:szCs w:val="32"/>
        </w:rPr>
        <w:t>4）按要求向财政上报资金使用进度情况反馈。</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lang w:val="en-US" w:eastAsia="zh-CN"/>
        </w:rPr>
        <w:t>2</w:t>
      </w: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rPr>
        <w:t>项目管理制度建设</w:t>
      </w:r>
    </w:p>
    <w:p>
      <w:pPr>
        <w:ind w:firstLine="624" w:firstLineChars="200"/>
        <w:rPr>
          <w:rFonts w:hint="eastAsia" w:ascii="仿宋" w:hAnsi="仿宋" w:eastAsia="仿宋" w:cs="仿宋"/>
          <w:color w:val="auto"/>
          <w:sz w:val="32"/>
          <w:szCs w:val="32"/>
        </w:rPr>
      </w:pPr>
      <w:r>
        <w:rPr>
          <w:rStyle w:val="12"/>
          <w:rFonts w:hint="eastAsia" w:ascii="仿宋" w:hAnsi="仿宋" w:eastAsia="仿宋" w:cs="仿宋"/>
          <w:b w:val="0"/>
          <w:color w:val="auto"/>
          <w:spacing w:val="-4"/>
          <w:sz w:val="32"/>
          <w:szCs w:val="32"/>
          <w:shd w:val="clear" w:color="FFFFFF" w:fill="FFFFFF"/>
        </w:rPr>
        <w:t>为了建立投资责任约束机制，规范项目法人的行为，明确其责、权、利，提高投资效益，依据《中华人民共和国公司法》、《关于实行建设项目法人责任制的暂行规定》等相关法律法规规定，该项目实行项目法人制</w:t>
      </w:r>
      <w:r>
        <w:rPr>
          <w:rFonts w:hint="eastAsia" w:ascii="仿宋" w:hAnsi="仿宋" w:eastAsia="仿宋" w:cs="仿宋"/>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项目管理按照业务分工由具体负责人对项目所对应的任务完成情况进行总结，对项目进度进行反馈。涉及资金使用内容，坚持项目重大开支集体讨论制定，并做好会议纪要。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val="en-US" w:eastAsia="zh-CN"/>
        </w:rPr>
        <w:t>4、</w:t>
      </w:r>
      <w:r>
        <w:rPr>
          <w:rStyle w:val="12"/>
          <w:rFonts w:hint="eastAsia" w:ascii="仿宋" w:hAnsi="仿宋" w:eastAsia="仿宋" w:cs="仿宋"/>
          <w:b w:val="0"/>
          <w:color w:val="auto"/>
          <w:sz w:val="32"/>
          <w:szCs w:val="32"/>
        </w:rPr>
        <w:t>日常检查监督管理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为加强项目的有效监管，由承担单位定期组织对项目组织管理与制度执行情况、项目规划设计和预算执行情况、项目建设工程任务完成情况、项目资金使用与管理情况、项目验收</w:t>
      </w:r>
      <w:r>
        <w:rPr>
          <w:rStyle w:val="12"/>
          <w:rFonts w:hint="eastAsia" w:ascii="仿宋" w:hAnsi="仿宋" w:eastAsia="仿宋" w:cs="仿宋"/>
          <w:b w:val="0"/>
          <w:color w:val="auto"/>
          <w:sz w:val="32"/>
          <w:szCs w:val="32"/>
          <w:lang w:eastAsia="zh-CN"/>
        </w:rPr>
        <w:t>等</w:t>
      </w:r>
      <w:r>
        <w:rPr>
          <w:rStyle w:val="12"/>
          <w:rFonts w:hint="eastAsia" w:ascii="仿宋" w:hAnsi="仿宋" w:eastAsia="仿宋" w:cs="仿宋"/>
          <w:b w:val="0"/>
          <w:color w:val="auto"/>
          <w:sz w:val="32"/>
          <w:szCs w:val="32"/>
        </w:rPr>
        <w:t>情况、项目档案资料管理情况等内容开展专项检查或者不定期抽查，开展监督检查措施，主要是内业检查、质量跟踪、开展审计等措施，强化项目的动态监管，确保项目质量。</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总的来说，</w:t>
      </w:r>
      <w:r>
        <w:rPr>
          <w:rFonts w:hint="eastAsia" w:ascii="仿宋" w:hAnsi="仿宋" w:eastAsia="仿宋" w:cs="仿宋"/>
          <w:color w:val="auto"/>
          <w:sz w:val="32"/>
          <w:szCs w:val="32"/>
        </w:rPr>
        <w:t>该项目制定的实施方案目标任务明确，</w:t>
      </w:r>
      <w:r>
        <w:rPr>
          <w:rFonts w:hint="eastAsia" w:ascii="仿宋" w:hAnsi="仿宋" w:eastAsia="仿宋" w:cs="仿宋"/>
          <w:color w:val="auto"/>
          <w:sz w:val="32"/>
          <w:szCs w:val="32"/>
          <w:lang w:eastAsia="zh-CN"/>
        </w:rPr>
        <w:t>项目预算与绩效目标、项目内容相匹配，预算编制符合相关规定，编制依据充分，投入产出较为合理。项目单位组织机构健全。职责分工明确。各项管理制度较为健全，组织管理措施科学、可行。可以保证项目实施的有效性。</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1、项目依据的政策具有可持续性。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Fonts w:hint="eastAsia" w:ascii="仿宋" w:hAnsi="仿宋" w:eastAsia="仿宋" w:cs="仿宋"/>
          <w:color w:val="auto"/>
          <w:sz w:val="32"/>
          <w:szCs w:val="32"/>
          <w:lang w:val="en-US" w:eastAsia="zh-CN"/>
        </w:rPr>
        <w:t>项目符合国家法律法规，相关政策要求会持续存在，且随着经济社会发展水平的提升，相关政策会越来越完善。从大</w:t>
      </w:r>
      <w:r>
        <w:rPr>
          <w:rStyle w:val="12"/>
          <w:rFonts w:hint="eastAsia" w:ascii="仿宋" w:hAnsi="仿宋" w:eastAsia="仿宋" w:cs="仿宋"/>
          <w:b w:val="0"/>
          <w:color w:val="auto"/>
          <w:sz w:val="32"/>
          <w:szCs w:val="32"/>
          <w:lang w:val="en-US" w:eastAsia="zh-CN"/>
        </w:rPr>
        <w:t>的政策方向看具有可持续性。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2、项目实施的组织机构具有可持续性。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民丰县人民代表大会常务委员会作为组织管理机构，属于政府工作部门，且财政拨款能够保障项目实施资金来源。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3、项目产出及效果具有可持续性。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val="en-US" w:eastAsia="zh-CN"/>
        </w:rPr>
        <w:t>项目执行期间严格执行资金管理办法和财政资金管理制度，能按照实施方案执行项目管理。专项资金专款专用，严格使用、管理、保障到位。专项资金由县财政局统一管理拨付到项目实施单位，严格按照项目实施进度分批次拨付，通过各个部门的项目配合，相互监督，协调合作。项目实施单位严格执行各项规章制度，</w:t>
      </w:r>
      <w:r>
        <w:rPr>
          <w:rStyle w:val="12"/>
          <w:rFonts w:hint="eastAsia" w:ascii="仿宋" w:hAnsi="仿宋" w:eastAsia="仿宋" w:cs="仿宋"/>
          <w:b w:val="0"/>
          <w:color w:val="auto"/>
          <w:sz w:val="32"/>
          <w:szCs w:val="32"/>
          <w:lang w:eastAsia="zh-CN"/>
        </w:rPr>
        <w:t>能够确保项目产出与效益的完成。</w:t>
      </w:r>
    </w:p>
    <w:p>
      <w:pPr>
        <w:pStyle w:val="2"/>
        <w:ind w:firstLine="640" w:firstLineChars="200"/>
        <w:rPr>
          <w:rFonts w:hint="eastAsia" w:ascii="仿宋" w:hAnsi="仿宋" w:eastAsia="仿宋" w:cs="仿宋"/>
          <w:sz w:val="32"/>
          <w:szCs w:val="32"/>
          <w:lang w:val="en-US" w:eastAsia="zh-CN"/>
        </w:rPr>
      </w:pPr>
      <w:r>
        <w:rPr>
          <w:rStyle w:val="12"/>
          <w:rFonts w:hint="eastAsia" w:ascii="仿宋" w:hAnsi="仿宋" w:eastAsia="仿宋" w:cs="仿宋"/>
          <w:b w:val="0"/>
          <w:bCs/>
          <w:color w:val="auto"/>
          <w:sz w:val="32"/>
          <w:szCs w:val="32"/>
          <w:lang w:eastAsia="zh-CN"/>
        </w:rPr>
        <w:t>总的来说，项目立项依据及政策具有可持续性，项目实施所需的组织机构具有可持续性，项目</w:t>
      </w:r>
      <w:r>
        <w:rPr>
          <w:rStyle w:val="12"/>
          <w:rFonts w:hint="eastAsia" w:ascii="仿宋" w:hAnsi="仿宋" w:eastAsia="仿宋" w:cs="仿宋"/>
          <w:b w:val="0"/>
          <w:bCs/>
          <w:color w:val="auto"/>
          <w:sz w:val="32"/>
          <w:szCs w:val="32"/>
          <w:lang w:val="en-US" w:eastAsia="zh-CN"/>
        </w:rPr>
        <w:t>产出及效果具有可持续性。故，该项目可持续性较强。</w:t>
      </w:r>
    </w:p>
    <w:p>
      <w:pPr>
        <w:ind w:firstLine="643"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r>
        <w:rPr>
          <w:rFonts w:hint="eastAsia" w:ascii="仿宋" w:hAnsi="仿宋" w:eastAsia="仿宋" w:cs="仿宋"/>
          <w:color w:val="auto"/>
          <w:sz w:val="32"/>
          <w:szCs w:val="32"/>
          <w:lang w:val="en-US" w:eastAsia="zh-CN"/>
        </w:rPr>
        <w:t>同时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该项目</w:t>
      </w:r>
      <w:r>
        <w:rPr>
          <w:rFonts w:hint="eastAsia" w:ascii="仿宋" w:hAnsi="仿宋" w:eastAsia="仿宋" w:cs="仿宋"/>
          <w:color w:val="auto"/>
          <w:sz w:val="32"/>
          <w:szCs w:val="32"/>
          <w:lang w:val="en-US" w:eastAsia="zh-CN"/>
        </w:rPr>
        <w:t>将</w:t>
      </w:r>
      <w:r>
        <w:rPr>
          <w:rFonts w:hint="eastAsia" w:ascii="仿宋" w:hAnsi="仿宋" w:eastAsia="仿宋" w:cs="仿宋"/>
          <w:color w:val="auto"/>
          <w:sz w:val="32"/>
          <w:szCs w:val="32"/>
        </w:rPr>
        <w:t>严格按照基本</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管理程序，严格</w:t>
      </w:r>
      <w:r>
        <w:rPr>
          <w:rFonts w:hint="eastAsia" w:ascii="仿宋" w:hAnsi="仿宋" w:eastAsia="仿宋" w:cs="仿宋"/>
          <w:color w:val="auto"/>
          <w:sz w:val="32"/>
          <w:szCs w:val="32"/>
          <w:lang w:eastAsia="zh-CN"/>
        </w:rPr>
        <w:t>执行实施方案的</w:t>
      </w:r>
      <w:r>
        <w:rPr>
          <w:rFonts w:hint="eastAsia" w:ascii="仿宋" w:hAnsi="仿宋" w:eastAsia="仿宋" w:cs="仿宋"/>
          <w:color w:val="auto"/>
          <w:sz w:val="32"/>
          <w:szCs w:val="32"/>
        </w:rPr>
        <w:t>有关要求，严格按照批准的项目</w:t>
      </w:r>
      <w:r>
        <w:rPr>
          <w:rFonts w:hint="eastAsia" w:ascii="仿宋" w:hAnsi="仿宋" w:eastAsia="仿宋" w:cs="仿宋"/>
          <w:color w:val="auto"/>
          <w:sz w:val="32"/>
          <w:szCs w:val="32"/>
          <w:lang w:eastAsia="zh-CN"/>
        </w:rPr>
        <w:t>主要</w:t>
      </w:r>
      <w:r>
        <w:rPr>
          <w:rFonts w:hint="eastAsia" w:ascii="仿宋" w:hAnsi="仿宋" w:eastAsia="仿宋" w:cs="仿宋"/>
          <w:color w:val="auto"/>
          <w:sz w:val="32"/>
          <w:szCs w:val="32"/>
        </w:rPr>
        <w:t>内容、标准组织项目实施，</w:t>
      </w:r>
      <w:r>
        <w:rPr>
          <w:rFonts w:hint="eastAsia" w:ascii="仿宋" w:hAnsi="仿宋" w:eastAsia="仿宋" w:cs="仿宋"/>
          <w:color w:val="auto"/>
          <w:sz w:val="32"/>
          <w:szCs w:val="32"/>
          <w:lang w:eastAsia="zh-CN"/>
        </w:rPr>
        <w:t>未</w:t>
      </w:r>
      <w:r>
        <w:rPr>
          <w:rFonts w:hint="eastAsia" w:ascii="仿宋" w:hAnsi="仿宋" w:eastAsia="仿宋" w:cs="仿宋"/>
          <w:color w:val="auto"/>
          <w:sz w:val="32"/>
          <w:szCs w:val="32"/>
        </w:rPr>
        <w:t>随意调整项目内容，</w:t>
      </w:r>
      <w:r>
        <w:rPr>
          <w:rFonts w:hint="eastAsia" w:ascii="仿宋" w:hAnsi="仿宋" w:eastAsia="仿宋" w:cs="仿宋"/>
          <w:color w:val="auto"/>
          <w:sz w:val="32"/>
          <w:szCs w:val="32"/>
          <w:lang w:eastAsia="zh-CN"/>
        </w:rPr>
        <w:t>无</w:t>
      </w:r>
      <w:r>
        <w:rPr>
          <w:rFonts w:hint="eastAsia" w:ascii="仿宋" w:hAnsi="仿宋" w:eastAsia="仿宋" w:cs="仿宋"/>
          <w:color w:val="auto"/>
          <w:sz w:val="32"/>
          <w:szCs w:val="32"/>
        </w:rPr>
        <w:t>新增政府债务或隐性债务。</w:t>
      </w:r>
      <w:r>
        <w:rPr>
          <w:rFonts w:hint="eastAsia" w:ascii="仿宋" w:hAnsi="仿宋" w:eastAsia="仿宋" w:cs="仿宋"/>
          <w:color w:val="auto"/>
          <w:sz w:val="32"/>
          <w:szCs w:val="32"/>
          <w:lang w:val="en-US" w:eastAsia="zh-CN"/>
        </w:rPr>
        <w:t>因此</w:t>
      </w:r>
      <w:r>
        <w:rPr>
          <w:rFonts w:hint="eastAsia" w:ascii="仿宋" w:hAnsi="仿宋" w:eastAsia="仿宋" w:cs="仿宋"/>
          <w:color w:val="auto"/>
          <w:sz w:val="32"/>
          <w:szCs w:val="32"/>
          <w:lang w:eastAsia="zh-CN"/>
        </w:rPr>
        <w:t>不存在财政资金重复投入风险，</w:t>
      </w:r>
      <w:r>
        <w:rPr>
          <w:rFonts w:hint="eastAsia" w:ascii="仿宋" w:hAnsi="仿宋" w:eastAsia="仿宋" w:cs="仿宋"/>
          <w:color w:val="auto"/>
          <w:sz w:val="32"/>
          <w:szCs w:val="32"/>
          <w:lang w:val="en-US" w:eastAsia="zh-CN"/>
        </w:rPr>
        <w:t>财政资金投入风险基本可控。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通过对基层人大补助经费项目评估，项目相关性显著，绩效可实现性较强，实施方案基本有效，预期绩效具有一定可持续性，且财政资金投入风险基本可控。对该项目应“予以支持”。</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五、评估的相关建议</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绩效目标制订有待精细化</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预算的制定应与项目目标相匹配。从项目总体看，项目预算与目标是匹配的。项目预算以项目相应内容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主要内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本项目评估报告是评估小组根据项目单位所提供的材料进行全面分析与评估，结合现场考察情况，在专家评价意见的基础上综合形成的报告，报告重点针对项目预算申报进行评估，同时考虑到项目具有长期且不可分割性，后续可能需要财政追加支持，对整个项目也进行了必要的附带评估。本报告的结论与意见是参考性的，仅供财政部门批复预算时使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（一）相关背景及发展规划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1、国家、自治区相关法律、法规和规章制度：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（1）《中共全国人大常委会党组关于加强县乡人大工作和建设的若干意见》（中发[2015]18号）；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（2）《中华人民共和国预算法》。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lang w:val="en-US" w:eastAsia="zh-CN" w:bidi="ar-SA"/>
        </w:rPr>
        <w:t>2、国家、自治区确定的方针、政策：</w:t>
      </w:r>
      <w:r>
        <w:rPr>
          <w:rFonts w:hint="eastAsia" w:ascii="仿宋" w:hAnsi="仿宋" w:eastAsia="仿宋" w:cs="仿宋"/>
          <w:color w:val="auto"/>
          <w:kern w:val="2"/>
          <w:sz w:val="32"/>
          <w:szCs w:val="32"/>
          <w:highlight w:val="none"/>
          <w:lang w:val="en-US" w:eastAsia="zh-CN" w:bidi="ar-SA"/>
        </w:rPr>
        <w:t>《自治区人大常委会召开推进县乡人大工作和建设经验交流会》。</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3、部门和行业的发展规划（计划）：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（1）《关于印发&lt;自治区本级部门预算绩效目标管理暂行办法&gt;》（新财预〔2018〕21号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（2）《和田地区财政资金使用跟踪反馈管理暂行办法》和地财政[2018]67号。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SA"/>
        </w:rPr>
        <w:t>4、</w:t>
      </w:r>
      <w:r>
        <w:rPr>
          <w:rFonts w:hint="eastAsia" w:ascii="仿宋" w:hAnsi="仿宋" w:eastAsia="仿宋" w:cs="仿宋"/>
          <w:color w:val="auto"/>
          <w:sz w:val="32"/>
          <w:szCs w:val="32"/>
        </w:rPr>
        <w:t>单位职能及单位简介</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仿宋_GB2312" w:hAnsi="宋体" w:eastAsia="仿宋_GB2312" w:cs="宋体"/>
          <w:kern w:val="0"/>
          <w:sz w:val="32"/>
          <w:szCs w:val="32"/>
        </w:rPr>
      </w:pPr>
      <w:r>
        <w:rPr>
          <w:rFonts w:hint="eastAsia" w:ascii="仿宋_GB2312" w:hAnsi="黑体" w:eastAsia="仿宋_GB2312" w:cs="宋体"/>
          <w:bCs/>
          <w:kern w:val="0"/>
          <w:sz w:val="32"/>
          <w:szCs w:val="32"/>
          <w:lang w:eastAsia="zh-CN"/>
        </w:rPr>
        <w:t>民丰县人大办</w:t>
      </w:r>
      <w:r>
        <w:rPr>
          <w:rFonts w:hint="eastAsia" w:ascii="仿宋_GB2312" w:hAnsi="黑体" w:eastAsia="仿宋_GB2312" w:cs="宋体"/>
          <w:bCs/>
          <w:kern w:val="0"/>
          <w:sz w:val="32"/>
          <w:szCs w:val="32"/>
        </w:rPr>
        <w:t xml:space="preserve">无下属预算单位，下设 </w:t>
      </w:r>
      <w:r>
        <w:rPr>
          <w:rFonts w:hint="eastAsia" w:ascii="仿宋_GB2312" w:hAnsi="黑体" w:eastAsia="仿宋_GB2312" w:cs="宋体"/>
          <w:bCs/>
          <w:kern w:val="0"/>
          <w:sz w:val="32"/>
          <w:szCs w:val="32"/>
          <w:lang w:val="en-US" w:eastAsia="zh-CN"/>
        </w:rPr>
        <w:t>4</w:t>
      </w:r>
      <w:r>
        <w:rPr>
          <w:rFonts w:hint="eastAsia" w:ascii="仿宋_GB2312" w:hAnsi="黑体" w:eastAsia="仿宋_GB2312" w:cs="宋体"/>
          <w:bCs/>
          <w:kern w:val="0"/>
          <w:sz w:val="32"/>
          <w:szCs w:val="32"/>
        </w:rPr>
        <w:t>个处室，分别是：</w:t>
      </w:r>
      <w:r>
        <w:rPr>
          <w:rFonts w:hint="eastAsia" w:ascii="仿宋_GB2312" w:hAnsi="仿宋_GB2312" w:eastAsia="仿宋_GB2312" w:cs="仿宋_GB2312"/>
          <w:sz w:val="30"/>
          <w:szCs w:val="30"/>
        </w:rPr>
        <w:t>代表人事委、法制委，教科文卫3个科， 1个人大办公室</w:t>
      </w:r>
      <w:r>
        <w:rPr>
          <w:rFonts w:hint="eastAsia" w:ascii="仿宋_GB2312" w:hAnsi="宋体" w:eastAsia="仿宋_GB2312" w:cs="宋体"/>
          <w:kern w:val="0"/>
          <w:sz w:val="32"/>
          <w:szCs w:val="32"/>
        </w:rPr>
        <w:t>。</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_GB2312" w:hAnsi="黑体" w:eastAsia="仿宋_GB2312" w:cs="宋体"/>
          <w:bCs/>
          <w:kern w:val="0"/>
          <w:sz w:val="32"/>
          <w:szCs w:val="32"/>
          <w:lang w:eastAsia="zh-CN"/>
        </w:rPr>
        <w:t>民丰县人大办</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人，</w:t>
      </w:r>
      <w:r>
        <w:rPr>
          <w:rFonts w:hint="eastAsia" w:ascii="仿宋" w:hAnsi="仿宋" w:eastAsia="仿宋" w:cs="仿宋"/>
          <w:color w:val="auto"/>
          <w:sz w:val="32"/>
          <w:szCs w:val="32"/>
          <w:lang w:val="en-US" w:eastAsia="zh-CN"/>
        </w:rPr>
        <w:t xml:space="preserve">民丰县人大常委会是县人民代表大会的常设机关，对县人民代表大会负责并报告工作。县人大常委会行使下列职权：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（1）在本行政区域内，保证宪法、法律、行政法规和上级人民代表大会及其常委会决议的遵守和执行；</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（2）领导、主持县人民代表大会代表的选举；</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（3）召集县人民代表大会会议； 讨论、决定本县内的政治、经济、教育、科学、文化、卫生、环境和资源保护、民政、民族等工作的重大事项；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（4）根据县人民政府的建议，决定对本县内的国民经济和社会发展计划、预算的部分变更；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（5）监督县人民政府、人大和人民检察院的工作，联系县人民代表大会代表，受理人民群众对上述机关和国家工作人员的申诉和意见；</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 撤销乡镇人民代表大会及人大主席团的不适当的决议；撤销县人民政府的不适当的决议和命令；</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（7）在县人民代表大会闭会期间，决定副县长的个别任免；在县长和人大院长、人民检察院检察长因故不能担任职务的时候，从县人民政府、人大、人民检察院副职领导人员中决定代理的人选。</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（8）决定代理检察长，须报地区人民检察院和人大常委会备案；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（9）根据县长的提名，决定县人民政府办公室主任、各序列局局长的任免；</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（10）按照人大组织法和人民检察院组织法的规定，任免人大副院长、庭长、副庭长、审判委员会委员、审判员，任免人民检察院副检察长、检察委员会委员、检察员；</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（11）在县人民代表大会闭会期间，决定撤销个别副县长； 决定撤销由它任命的县人民政府其他组成人员和人大副院长、庭长、副庭长、审判委员会委员、审判员，人民检察院副检察长、检察委员会委员、检察员；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（12）在县人民代表大会闭会期间，补选县人民代表大会出缺的代表和罢免个别代表。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1.实施方案</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2.专家论证意见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rPr>
      </w:pPr>
      <w:r>
        <w:rPr>
          <w:rFonts w:hint="eastAsia" w:ascii="仿宋" w:hAnsi="仿宋" w:eastAsia="仿宋" w:cs="仿宋"/>
          <w:bCs/>
          <w:color w:val="auto"/>
          <w:sz w:val="32"/>
          <w:szCs w:val="32"/>
          <w:lang w:val="en-US" w:eastAsia="zh-CN"/>
        </w:rPr>
        <w:t>《基层人大补助经费</w:t>
      </w:r>
      <w:r>
        <w:rPr>
          <w:rFonts w:hint="eastAsia" w:ascii="仿宋" w:hAnsi="仿宋" w:eastAsia="仿宋" w:cs="仿宋"/>
          <w:bCs/>
          <w:color w:val="auto"/>
          <w:sz w:val="32"/>
          <w:szCs w:val="32"/>
        </w:rPr>
        <w:t>项目</w:t>
      </w:r>
      <w:r>
        <w:rPr>
          <w:rFonts w:hint="eastAsia" w:ascii="仿宋" w:hAnsi="仿宋" w:eastAsia="仿宋" w:cs="仿宋"/>
          <w:color w:val="auto"/>
          <w:kern w:val="2"/>
          <w:sz w:val="32"/>
          <w:szCs w:val="32"/>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相关管理制度</w:t>
      </w:r>
    </w:p>
    <w:p>
      <w:pPr>
        <w:pStyle w:val="3"/>
        <w:ind w:left="0" w:leftChars="0"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《财政预算资金拨付管理暂行办法》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行政单位</w:t>
      </w:r>
      <w:r>
        <w:rPr>
          <w:rFonts w:hint="eastAsia" w:ascii="仿宋" w:hAnsi="仿宋" w:eastAsia="仿宋" w:cs="仿宋"/>
          <w:color w:val="auto"/>
          <w:sz w:val="32"/>
          <w:szCs w:val="32"/>
        </w:rPr>
        <w:t>财务制度》</w:t>
      </w:r>
    </w:p>
    <w:p>
      <w:pPr>
        <w:pStyle w:val="3"/>
        <w:ind w:left="0" w:leftChars="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其他材料</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5B5FFCFA"/>
    <w:multiLevelType w:val="singleLevel"/>
    <w:tmpl w:val="5B5FFCFA"/>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abstractNum w:abstractNumId="3">
    <w:nsid w:val="7E9A1150"/>
    <w:multiLevelType w:val="singleLevel"/>
    <w:tmpl w:val="7E9A1150"/>
    <w:lvl w:ilvl="0" w:tentative="0">
      <w:start w:val="2"/>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397AF4"/>
    <w:rsid w:val="00465207"/>
    <w:rsid w:val="007807C2"/>
    <w:rsid w:val="007E3496"/>
    <w:rsid w:val="009121D1"/>
    <w:rsid w:val="00F11E6D"/>
    <w:rsid w:val="01054869"/>
    <w:rsid w:val="013E0208"/>
    <w:rsid w:val="015D6FAE"/>
    <w:rsid w:val="016611EA"/>
    <w:rsid w:val="018D3C1F"/>
    <w:rsid w:val="020E2A38"/>
    <w:rsid w:val="023B6478"/>
    <w:rsid w:val="02441943"/>
    <w:rsid w:val="029A0A2C"/>
    <w:rsid w:val="02D053DF"/>
    <w:rsid w:val="03316484"/>
    <w:rsid w:val="046C3F0B"/>
    <w:rsid w:val="048248A9"/>
    <w:rsid w:val="04F66797"/>
    <w:rsid w:val="051D5A53"/>
    <w:rsid w:val="05453501"/>
    <w:rsid w:val="056370A6"/>
    <w:rsid w:val="0624262D"/>
    <w:rsid w:val="062F0312"/>
    <w:rsid w:val="06C5743D"/>
    <w:rsid w:val="06F33AB3"/>
    <w:rsid w:val="081D2AE1"/>
    <w:rsid w:val="084B2109"/>
    <w:rsid w:val="08D9103A"/>
    <w:rsid w:val="093443BE"/>
    <w:rsid w:val="09855E39"/>
    <w:rsid w:val="09A9167B"/>
    <w:rsid w:val="09AE1863"/>
    <w:rsid w:val="09B87218"/>
    <w:rsid w:val="09BB4B33"/>
    <w:rsid w:val="0A2A388C"/>
    <w:rsid w:val="0B1A2168"/>
    <w:rsid w:val="0BEF7BAC"/>
    <w:rsid w:val="0C0B76CB"/>
    <w:rsid w:val="0C1408A2"/>
    <w:rsid w:val="0C5D450C"/>
    <w:rsid w:val="0CD97160"/>
    <w:rsid w:val="0D735489"/>
    <w:rsid w:val="0D871459"/>
    <w:rsid w:val="0E1136FA"/>
    <w:rsid w:val="0E1F7EE3"/>
    <w:rsid w:val="0E5C4623"/>
    <w:rsid w:val="0E6E1D7A"/>
    <w:rsid w:val="0F3F0A88"/>
    <w:rsid w:val="0F9C2846"/>
    <w:rsid w:val="0FA56207"/>
    <w:rsid w:val="0FD659DE"/>
    <w:rsid w:val="0FED7C80"/>
    <w:rsid w:val="100E4185"/>
    <w:rsid w:val="101C44CA"/>
    <w:rsid w:val="108E1F4B"/>
    <w:rsid w:val="10E66A06"/>
    <w:rsid w:val="116A39F3"/>
    <w:rsid w:val="11E62032"/>
    <w:rsid w:val="124475C0"/>
    <w:rsid w:val="127D22E8"/>
    <w:rsid w:val="12A34336"/>
    <w:rsid w:val="12B10B1A"/>
    <w:rsid w:val="12E74AA5"/>
    <w:rsid w:val="13236DB9"/>
    <w:rsid w:val="133A7289"/>
    <w:rsid w:val="143C2425"/>
    <w:rsid w:val="14AC247C"/>
    <w:rsid w:val="15953456"/>
    <w:rsid w:val="15980F03"/>
    <w:rsid w:val="15C50BAE"/>
    <w:rsid w:val="171A0E2E"/>
    <w:rsid w:val="177E0220"/>
    <w:rsid w:val="17DA7A45"/>
    <w:rsid w:val="17F515A4"/>
    <w:rsid w:val="18A5269F"/>
    <w:rsid w:val="18C5724C"/>
    <w:rsid w:val="19BD0569"/>
    <w:rsid w:val="19C53504"/>
    <w:rsid w:val="19FC7DC3"/>
    <w:rsid w:val="1A2069B5"/>
    <w:rsid w:val="1A3F4E5A"/>
    <w:rsid w:val="1AF2441A"/>
    <w:rsid w:val="1AFD7E1D"/>
    <w:rsid w:val="1B1833DD"/>
    <w:rsid w:val="1B846282"/>
    <w:rsid w:val="1BF86A46"/>
    <w:rsid w:val="1C5822F6"/>
    <w:rsid w:val="1C675967"/>
    <w:rsid w:val="1C6D6F94"/>
    <w:rsid w:val="1C90583C"/>
    <w:rsid w:val="1CDC3433"/>
    <w:rsid w:val="1D2A2BC3"/>
    <w:rsid w:val="1D6337F7"/>
    <w:rsid w:val="1D8071C9"/>
    <w:rsid w:val="1D811C8B"/>
    <w:rsid w:val="1DC55B79"/>
    <w:rsid w:val="1DCD0432"/>
    <w:rsid w:val="1E6B0F64"/>
    <w:rsid w:val="1E7E35C2"/>
    <w:rsid w:val="1FE83678"/>
    <w:rsid w:val="201662C5"/>
    <w:rsid w:val="20311205"/>
    <w:rsid w:val="20397AF8"/>
    <w:rsid w:val="20764F86"/>
    <w:rsid w:val="20C74BE2"/>
    <w:rsid w:val="20DE327E"/>
    <w:rsid w:val="20F23CAF"/>
    <w:rsid w:val="21393877"/>
    <w:rsid w:val="21473D45"/>
    <w:rsid w:val="21B6514D"/>
    <w:rsid w:val="21E97E9F"/>
    <w:rsid w:val="21F9537E"/>
    <w:rsid w:val="22F02F92"/>
    <w:rsid w:val="233317E1"/>
    <w:rsid w:val="238E08B1"/>
    <w:rsid w:val="24032071"/>
    <w:rsid w:val="243B7DDA"/>
    <w:rsid w:val="243F6E75"/>
    <w:rsid w:val="244664A7"/>
    <w:rsid w:val="249B2350"/>
    <w:rsid w:val="25B440FD"/>
    <w:rsid w:val="25D91A6E"/>
    <w:rsid w:val="25E556FF"/>
    <w:rsid w:val="267601BD"/>
    <w:rsid w:val="26901D18"/>
    <w:rsid w:val="26DD4C0F"/>
    <w:rsid w:val="26E240B6"/>
    <w:rsid w:val="277942F2"/>
    <w:rsid w:val="28361A5A"/>
    <w:rsid w:val="28D01E46"/>
    <w:rsid w:val="29BC098F"/>
    <w:rsid w:val="2A5461A7"/>
    <w:rsid w:val="2A656172"/>
    <w:rsid w:val="2AF50BFD"/>
    <w:rsid w:val="2B201276"/>
    <w:rsid w:val="2B39119E"/>
    <w:rsid w:val="2B650AF2"/>
    <w:rsid w:val="2B971008"/>
    <w:rsid w:val="2BC66837"/>
    <w:rsid w:val="2C0C3782"/>
    <w:rsid w:val="2C0E7826"/>
    <w:rsid w:val="2C2D141C"/>
    <w:rsid w:val="2D666E4B"/>
    <w:rsid w:val="2DE00031"/>
    <w:rsid w:val="2DF15DFD"/>
    <w:rsid w:val="2DF9711E"/>
    <w:rsid w:val="2E0C5F32"/>
    <w:rsid w:val="2E413A5C"/>
    <w:rsid w:val="2EB85E49"/>
    <w:rsid w:val="2ECC2D36"/>
    <w:rsid w:val="2F5D13E8"/>
    <w:rsid w:val="2F81408F"/>
    <w:rsid w:val="2F976B05"/>
    <w:rsid w:val="2FAE2071"/>
    <w:rsid w:val="2FFA6DE3"/>
    <w:rsid w:val="30370CE7"/>
    <w:rsid w:val="305119C6"/>
    <w:rsid w:val="30834838"/>
    <w:rsid w:val="316005CA"/>
    <w:rsid w:val="31BA1F08"/>
    <w:rsid w:val="31BF65A1"/>
    <w:rsid w:val="31F54E76"/>
    <w:rsid w:val="32061986"/>
    <w:rsid w:val="322F7F95"/>
    <w:rsid w:val="32400D9D"/>
    <w:rsid w:val="337A0897"/>
    <w:rsid w:val="33B456FA"/>
    <w:rsid w:val="34070494"/>
    <w:rsid w:val="34085CD3"/>
    <w:rsid w:val="34F125F4"/>
    <w:rsid w:val="34FB2401"/>
    <w:rsid w:val="35062951"/>
    <w:rsid w:val="361F00E6"/>
    <w:rsid w:val="36494625"/>
    <w:rsid w:val="364C3CCF"/>
    <w:rsid w:val="367C61D6"/>
    <w:rsid w:val="3700231F"/>
    <w:rsid w:val="37314123"/>
    <w:rsid w:val="37535DB9"/>
    <w:rsid w:val="376626F1"/>
    <w:rsid w:val="3773532D"/>
    <w:rsid w:val="37F05A02"/>
    <w:rsid w:val="392F6990"/>
    <w:rsid w:val="39516C4E"/>
    <w:rsid w:val="39E41117"/>
    <w:rsid w:val="39F118B9"/>
    <w:rsid w:val="3A1E5BAB"/>
    <w:rsid w:val="3A3C7EEF"/>
    <w:rsid w:val="3A721A6F"/>
    <w:rsid w:val="3A8C361B"/>
    <w:rsid w:val="3AD1374D"/>
    <w:rsid w:val="3B1C0595"/>
    <w:rsid w:val="3B2C53E9"/>
    <w:rsid w:val="3B4A7EBC"/>
    <w:rsid w:val="3B6F178F"/>
    <w:rsid w:val="3B7A677E"/>
    <w:rsid w:val="3B842124"/>
    <w:rsid w:val="3C482A47"/>
    <w:rsid w:val="3C484CE8"/>
    <w:rsid w:val="3C8E3EE0"/>
    <w:rsid w:val="3D025608"/>
    <w:rsid w:val="3D2730D3"/>
    <w:rsid w:val="3DEA7368"/>
    <w:rsid w:val="3E722AE1"/>
    <w:rsid w:val="3E975F6D"/>
    <w:rsid w:val="3ECE6B68"/>
    <w:rsid w:val="3F390902"/>
    <w:rsid w:val="3FE117F2"/>
    <w:rsid w:val="401C3517"/>
    <w:rsid w:val="40736A77"/>
    <w:rsid w:val="409D3644"/>
    <w:rsid w:val="40CD3266"/>
    <w:rsid w:val="412F4064"/>
    <w:rsid w:val="41C8702B"/>
    <w:rsid w:val="423C34A3"/>
    <w:rsid w:val="423F3E14"/>
    <w:rsid w:val="42D3318F"/>
    <w:rsid w:val="434B464C"/>
    <w:rsid w:val="43BD20C6"/>
    <w:rsid w:val="43EB4276"/>
    <w:rsid w:val="441253AF"/>
    <w:rsid w:val="456D7650"/>
    <w:rsid w:val="469F374B"/>
    <w:rsid w:val="46A07351"/>
    <w:rsid w:val="46B03C17"/>
    <w:rsid w:val="46B82D4C"/>
    <w:rsid w:val="46D41550"/>
    <w:rsid w:val="472A270B"/>
    <w:rsid w:val="476C6DBC"/>
    <w:rsid w:val="47EA0B06"/>
    <w:rsid w:val="47F64860"/>
    <w:rsid w:val="48456F93"/>
    <w:rsid w:val="485A270D"/>
    <w:rsid w:val="48820632"/>
    <w:rsid w:val="48CC2F48"/>
    <w:rsid w:val="48FC00D6"/>
    <w:rsid w:val="49A11CAE"/>
    <w:rsid w:val="4A4A53F5"/>
    <w:rsid w:val="4A66296B"/>
    <w:rsid w:val="4AED6187"/>
    <w:rsid w:val="4B0B6050"/>
    <w:rsid w:val="4B284138"/>
    <w:rsid w:val="4C0D65B0"/>
    <w:rsid w:val="4C404649"/>
    <w:rsid w:val="4C665EA0"/>
    <w:rsid w:val="4D301742"/>
    <w:rsid w:val="4D4E601A"/>
    <w:rsid w:val="4D841A4B"/>
    <w:rsid w:val="4D9D7F5D"/>
    <w:rsid w:val="4E0C1C90"/>
    <w:rsid w:val="4E360A1B"/>
    <w:rsid w:val="4FB47F8D"/>
    <w:rsid w:val="4FDC6038"/>
    <w:rsid w:val="502F050E"/>
    <w:rsid w:val="50B36A43"/>
    <w:rsid w:val="515D203B"/>
    <w:rsid w:val="51731038"/>
    <w:rsid w:val="517E2E87"/>
    <w:rsid w:val="51DA507E"/>
    <w:rsid w:val="528D5F6D"/>
    <w:rsid w:val="529F3AC9"/>
    <w:rsid w:val="52B25F78"/>
    <w:rsid w:val="52BB3184"/>
    <w:rsid w:val="53980E8A"/>
    <w:rsid w:val="539A0105"/>
    <w:rsid w:val="53A065BD"/>
    <w:rsid w:val="53AD7A19"/>
    <w:rsid w:val="546A1E8D"/>
    <w:rsid w:val="547D4F88"/>
    <w:rsid w:val="54883071"/>
    <w:rsid w:val="54A87914"/>
    <w:rsid w:val="54AA2DFE"/>
    <w:rsid w:val="55004D62"/>
    <w:rsid w:val="55171DBC"/>
    <w:rsid w:val="5529221D"/>
    <w:rsid w:val="554A2391"/>
    <w:rsid w:val="55B9278C"/>
    <w:rsid w:val="55E91885"/>
    <w:rsid w:val="56EE5C96"/>
    <w:rsid w:val="56F42115"/>
    <w:rsid w:val="572267AA"/>
    <w:rsid w:val="57492CE8"/>
    <w:rsid w:val="57652D51"/>
    <w:rsid w:val="58A83203"/>
    <w:rsid w:val="58CF5D32"/>
    <w:rsid w:val="58D7335B"/>
    <w:rsid w:val="58FD4E82"/>
    <w:rsid w:val="592E39B3"/>
    <w:rsid w:val="593E7BB8"/>
    <w:rsid w:val="59402FE3"/>
    <w:rsid w:val="59B53DEC"/>
    <w:rsid w:val="5A47403B"/>
    <w:rsid w:val="5AB526C9"/>
    <w:rsid w:val="5AB82A9D"/>
    <w:rsid w:val="5B1954BB"/>
    <w:rsid w:val="5D365CAA"/>
    <w:rsid w:val="5D4E431E"/>
    <w:rsid w:val="5E0A6E1D"/>
    <w:rsid w:val="5ECD572D"/>
    <w:rsid w:val="5EF920F0"/>
    <w:rsid w:val="5F0A79ED"/>
    <w:rsid w:val="5F9D2CE0"/>
    <w:rsid w:val="5FA52ED3"/>
    <w:rsid w:val="604757AA"/>
    <w:rsid w:val="607A1F3D"/>
    <w:rsid w:val="608C05CF"/>
    <w:rsid w:val="60991858"/>
    <w:rsid w:val="618D3A69"/>
    <w:rsid w:val="619E41FB"/>
    <w:rsid w:val="61B65781"/>
    <w:rsid w:val="62136EA9"/>
    <w:rsid w:val="624A5550"/>
    <w:rsid w:val="62711DF8"/>
    <w:rsid w:val="62AC048E"/>
    <w:rsid w:val="62C428CB"/>
    <w:rsid w:val="63232D81"/>
    <w:rsid w:val="63525110"/>
    <w:rsid w:val="64146336"/>
    <w:rsid w:val="642C6C5F"/>
    <w:rsid w:val="642E1B9A"/>
    <w:rsid w:val="64FD51A7"/>
    <w:rsid w:val="65585550"/>
    <w:rsid w:val="657610B9"/>
    <w:rsid w:val="65A77252"/>
    <w:rsid w:val="66FD2275"/>
    <w:rsid w:val="67097119"/>
    <w:rsid w:val="683D167D"/>
    <w:rsid w:val="68BB6E64"/>
    <w:rsid w:val="68C33DA9"/>
    <w:rsid w:val="68CB47DE"/>
    <w:rsid w:val="696D62E0"/>
    <w:rsid w:val="6B7F6CDF"/>
    <w:rsid w:val="6B9A1DFE"/>
    <w:rsid w:val="6BBC7F29"/>
    <w:rsid w:val="6BBF063B"/>
    <w:rsid w:val="6BCB641C"/>
    <w:rsid w:val="6C4C768B"/>
    <w:rsid w:val="6CE27501"/>
    <w:rsid w:val="6D3779A6"/>
    <w:rsid w:val="6DE328D8"/>
    <w:rsid w:val="6E361EA1"/>
    <w:rsid w:val="6EB524BB"/>
    <w:rsid w:val="6ECF2E60"/>
    <w:rsid w:val="6F493024"/>
    <w:rsid w:val="6F5535E5"/>
    <w:rsid w:val="6F7A2C81"/>
    <w:rsid w:val="6F7E3958"/>
    <w:rsid w:val="6FBD6F92"/>
    <w:rsid w:val="6FF40710"/>
    <w:rsid w:val="6FFC34E0"/>
    <w:rsid w:val="700B24AF"/>
    <w:rsid w:val="70277C83"/>
    <w:rsid w:val="70334A57"/>
    <w:rsid w:val="70651092"/>
    <w:rsid w:val="708A1B58"/>
    <w:rsid w:val="71162338"/>
    <w:rsid w:val="711733E9"/>
    <w:rsid w:val="712330BF"/>
    <w:rsid w:val="71582C5C"/>
    <w:rsid w:val="71A9184B"/>
    <w:rsid w:val="71AD2A02"/>
    <w:rsid w:val="72A34C18"/>
    <w:rsid w:val="74175983"/>
    <w:rsid w:val="74270529"/>
    <w:rsid w:val="74992165"/>
    <w:rsid w:val="757C10DA"/>
    <w:rsid w:val="759A6C8C"/>
    <w:rsid w:val="75E35B61"/>
    <w:rsid w:val="762E14C6"/>
    <w:rsid w:val="76337E79"/>
    <w:rsid w:val="76C2766E"/>
    <w:rsid w:val="774060C0"/>
    <w:rsid w:val="785A1719"/>
    <w:rsid w:val="78831055"/>
    <w:rsid w:val="79BA1933"/>
    <w:rsid w:val="7A004C20"/>
    <w:rsid w:val="7A5E439F"/>
    <w:rsid w:val="7A9167AD"/>
    <w:rsid w:val="7BF35895"/>
    <w:rsid w:val="7C8A5DAD"/>
    <w:rsid w:val="7CFF3C32"/>
    <w:rsid w:val="7E485964"/>
    <w:rsid w:val="7EF84129"/>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2">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3"/>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1</TotalTime>
  <ScaleCrop>false</ScaleCrop>
  <LinksUpToDate>false</LinksUpToDate>
  <CharactersWithSpaces>1025</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306179</cp:lastModifiedBy>
  <dcterms:modified xsi:type="dcterms:W3CDTF">2020-05-22T09:03:27Z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