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关于民丰县人民代表大会常务委员会</w:t>
      </w:r>
      <w:r>
        <w:rPr>
          <w:rFonts w:hint="eastAsia" w:ascii="仿宋_GB2312" w:hAnsi="仿宋_GB2312" w:eastAsia="仿宋_GB2312" w:cs="仿宋_GB2312"/>
          <w:b/>
          <w:bCs/>
          <w:color w:val="auto"/>
          <w:sz w:val="36"/>
          <w:szCs w:val="36"/>
          <w:highlight w:val="none"/>
          <w:lang w:val="en-US" w:eastAsia="zh-CN"/>
        </w:rPr>
        <w:t>四套班子领导车辆保险费项目</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民丰县人民代表大会常务委员会</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四套班子领导车辆保险费项目</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90</w:t>
      </w:r>
      <w:r>
        <w:rPr>
          <w:rFonts w:hint="eastAsia" w:ascii="仿宋_GB2312" w:hAnsi="仿宋_GB2312" w:eastAsia="仿宋_GB2312" w:cs="仿宋_GB2312"/>
          <w:b w:val="0"/>
          <w:bCs w:val="0"/>
          <w:color w:val="auto"/>
          <w:sz w:val="32"/>
          <w:szCs w:val="32"/>
          <w:highlight w:val="none"/>
          <w:lang w:val="en-US" w:eastAsia="zh-CN"/>
        </w:rPr>
        <w:t>分、绩效级别“优秀”，</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单位</w:t>
      </w:r>
      <w:r>
        <w:rPr>
          <w:rFonts w:hint="eastAsia" w:ascii="仿宋_GB2312" w:hAnsi="仿宋_GB2312" w:eastAsia="仿宋_GB2312" w:cs="仿宋_GB2312"/>
          <w:b w:val="0"/>
          <w:bCs w:val="0"/>
          <w:color w:val="auto"/>
          <w:sz w:val="32"/>
          <w:szCs w:val="32"/>
          <w:highlight w:val="none"/>
          <w:lang w:eastAsia="zh-CN"/>
        </w:rPr>
        <w:t>四套班子领导车辆保险费项目</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eastAsia="zh-CN"/>
        </w:rPr>
        <w:t>2.2</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5C94B14"/>
    <w:rsid w:val="2AC80288"/>
    <w:rsid w:val="41C46ADE"/>
    <w:rsid w:val="4F913D79"/>
    <w:rsid w:val="504C7A7F"/>
    <w:rsid w:val="59E06BE1"/>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2020-05-22T09:08:40Z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